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before="0" w:after="0"/>
        <w:jc w:val="right"/>
      </w:pPr>
      <w:r>
        <w:rPr>
          <w:rFonts w:ascii="Times New Roman" w:hAnsi="Times New Roman" w:cs="Times New Roman" w:eastAsia="Times New Roman"/>
          <w:b/>
          <w:i w:val="0"/>
          <w:sz w:val="28"/>
        </w:rPr>
        <w:t>УДК 004.413:004.451</w:t>
      </w:r>
    </w:p>
    <w:p>
      <w:pPr>
        <w:spacing w:lineRule="auto" w:line="240" w:before="0" w:after="0"/>
        <w:jc w:val="right"/>
      </w:pPr>
      <w:r>
        <w:rPr>
          <w:rFonts w:ascii="Times New Roman" w:hAnsi="Times New Roman" w:cs="Times New Roman" w:eastAsia="Times New Roman"/>
          <w:b/>
          <w:i w:val="0"/>
          <w:sz w:val="28"/>
        </w:rPr>
        <w:t>Сухов Владислав Александрович</w:t>
      </w:r>
    </w:p>
    <w:p>
      <w:pPr>
        <w:spacing w:lineRule="auto" w:line="240" w:before="0" w:after="0"/>
        <w:jc w:val="right"/>
      </w:pPr>
      <w:r>
        <w:rPr>
          <w:rFonts w:ascii="Times New Roman" w:hAnsi="Times New Roman" w:cs="Times New Roman" w:eastAsia="Times New Roman"/>
          <w:b w:val="0"/>
          <w:i w:val="0"/>
          <w:sz w:val="28"/>
        </w:rPr>
        <w:t>Магистрант кафедры математического обеспечения и стандартизации информационных технологий</w:t>
      </w:r>
    </w:p>
    <w:p>
      <w:pPr>
        <w:spacing w:lineRule="auto" w:line="240" w:before="0" w:after="0"/>
        <w:jc w:val="right"/>
      </w:pPr>
      <w:r>
        <w:rPr>
          <w:rFonts w:ascii="Times New Roman" w:hAnsi="Times New Roman" w:cs="Times New Roman" w:eastAsia="Times New Roman"/>
          <w:b w:val="0"/>
          <w:i w:val="0"/>
          <w:sz w:val="28"/>
        </w:rPr>
        <w:t>МИРЭА — Российский технологический университет</w:t>
      </w:r>
    </w:p>
    <w:p>
      <w:pPr>
        <w:spacing w:lineRule="auto" w:line="240" w:before="0" w:after="0"/>
        <w:jc w:val="right"/>
      </w:pPr>
      <w:r>
        <w:rPr>
          <w:rFonts w:ascii="Times New Roman" w:hAnsi="Times New Roman" w:cs="Times New Roman" w:eastAsia="Times New Roman"/>
          <w:b/>
          <w:i w:val="0"/>
          <w:sz w:val="28"/>
        </w:rPr>
        <w:t>Sukhov Vladislav Aleksandrovich</w:t>
      </w:r>
    </w:p>
    <w:p>
      <w:pPr>
        <w:spacing w:lineRule="auto" w:line="240" w:before="0" w:after="0"/>
        <w:jc w:val="right"/>
      </w:pPr>
      <w:r>
        <w:rPr>
          <w:rFonts w:ascii="Times New Roman" w:hAnsi="Times New Roman" w:cs="Times New Roman" w:eastAsia="Times New Roman"/>
          <w:b w:val="0"/>
          <w:i w:val="0"/>
          <w:sz w:val="28"/>
        </w:rPr>
        <w:t>Master's student, Department of Mathematical Support and Standardization of Information Technologies</w:t>
      </w:r>
    </w:p>
    <w:p>
      <w:pPr>
        <w:spacing w:lineRule="auto" w:line="240" w:before="0" w:after="0"/>
        <w:jc w:val="right"/>
      </w:pPr>
      <w:r>
        <w:rPr>
          <w:rFonts w:ascii="Times New Roman" w:hAnsi="Times New Roman" w:cs="Times New Roman" w:eastAsia="Times New Roman"/>
          <w:b w:val="0"/>
          <w:i w:val="0"/>
          <w:sz w:val="28"/>
        </w:rPr>
        <w:t>MIREA — Russian Technological University</w:t>
      </w:r>
    </w:p>
    <w:p>
      <w:pPr>
        <w:spacing w:lineRule="auto" w:line="240" w:before="0" w:after="0"/>
        <w:jc w:val="center"/>
      </w:pPr>
    </w:p>
    <w:p>
      <w:pPr>
        <w:spacing w:lineRule="auto" w:line="240" w:before="0" w:after="0"/>
        <w:jc w:val="center"/>
      </w:pPr>
    </w:p>
    <w:p>
      <w:pPr>
        <w:spacing w:lineRule="auto" w:line="240" w:before="0" w:after="0"/>
        <w:jc w:val="center"/>
      </w:pPr>
      <w:r>
        <w:rPr>
          <w:rFonts w:ascii="Times New Roman" w:hAnsi="Times New Roman" w:cs="Times New Roman" w:eastAsia="Times New Roman"/>
          <w:b/>
          <w:i w:val="0"/>
          <w:sz w:val="28"/>
        </w:rPr>
        <w:t>МОДУЛЬНАЯ АРХИТЕКТУРА УПРАВЛЕНИЯ КОНФИГУРАЦИЕЙ ВЫЧИСЛИТЕЛЬНОЙ ИНФРАСТРУКТУРЫ НА БАЗЕ ДЕКЛАРАТИВНОЙ ОПЕРАЦИОННОЙ СИСТЕМЫ NIXOS</w:t>
      </w:r>
    </w:p>
    <w:p>
      <w:pPr>
        <w:spacing w:lineRule="auto" w:line="240" w:before="0" w:after="0"/>
        <w:jc w:val="center"/>
      </w:pPr>
      <w:r>
        <w:rPr>
          <w:rFonts w:ascii="Times New Roman" w:hAnsi="Times New Roman" w:cs="Times New Roman" w:eastAsia="Times New Roman"/>
          <w:b/>
          <w:i w:val="0"/>
          <w:sz w:val="28"/>
        </w:rPr>
        <w:t>A MODULAR CONFIGURATION MANAGEMENT ARCHITECTURE FOR COMPUTING INFRASTRUCTURE BASED ON THE DECLARATIVE OPERATING SYSTEM NIXOS</w:t>
      </w:r>
    </w:p>
    <w:p>
      <w:pPr>
        <w:spacing w:lineRule="auto" w:line="240" w:before="0" w:after="0"/>
        <w:jc w:val="center"/>
      </w:pPr>
    </w:p>
    <w:p>
      <w:pPr>
        <w:spacing w:lineRule="auto" w:line="240" w:before="0" w:after="0"/>
        <w:ind w:firstLine="709"/>
        <w:jc w:val="both"/>
      </w:pPr>
      <w:r>
        <w:rPr>
          <w:rFonts w:ascii="Times New Roman" w:hAnsi="Times New Roman" w:cs="Times New Roman" w:eastAsia="Times New Roman"/>
          <w:b w:val="0"/>
          <w:i w:val="0"/>
          <w:sz w:val="28"/>
        </w:rPr>
        <w:t xml:space="preserve">Аннотация: </w:t>
      </w:r>
      <w:r>
        <w:rPr>
          <w:rFonts w:ascii="Times New Roman" w:hAnsi="Times New Roman" w:cs="Times New Roman" w:eastAsia="Times New Roman"/>
          <w:b w:val="0"/>
          <w:i/>
          <w:sz w:val="28"/>
        </w:rPr>
        <w:t>В работе рассматривается задача снижения избыточности конфигурационного кода и устранения configuration drift при управлении вычислительной инфраструктурой, состоящей из разнородных хостов. Показано, что традиционные инструменты управления конфигурацией реализуют конвергентную модель управления состоянием, при которой полное устранение конфигурационного дрейфа принципиально невозможно. Альтернативой является конгруэнтная модель, реализованная в декларативных операционных системах. Предложен интегральный показатель качества управления конфигурацией, объединяющий коэффициент переиспользования модулей, степень модульности, сокращение кода и избыточность с обоснованными весовыми коэффициентами и системой ограничений. Разработана трёхуровневая архитектура «модули — наборы — профили» с механизмом наследования профилей, реализующая конгруэнтную модель управления состоянием на базе декларативной операционной системы NixOS и фреймворка Snowfall Lib. Экспериментальная оценка реализованной системы, управляющей тремя хостами различного назначения, продемонстрировала достижение целевых значений по четырём показателям из шести. Время подготовки нового хоста сокращено с 60–120 до 10–15 минут. По интегральному показателю качества разработанная система превосходит распространённые конвергентные инструменты в 1,6–2 раза. Установлен положительный эффект масштаба: при расширении инфраструктуры до 10 хостов прогнозируется дальнейший рост показателей переиспользования и модульности.</w:t>
      </w:r>
    </w:p>
    <w:p>
      <w:pPr>
        <w:spacing w:lineRule="auto" w:line="240" w:before="0" w:after="0"/>
        <w:ind w:firstLine="709"/>
        <w:jc w:val="both"/>
      </w:pPr>
      <w:r>
        <w:rPr>
          <w:rFonts w:ascii="Times New Roman" w:hAnsi="Times New Roman" w:cs="Times New Roman" w:eastAsia="Times New Roman"/>
          <w:b w:val="0"/>
          <w:i w:val="0"/>
          <w:sz w:val="28"/>
        </w:rPr>
        <w:t xml:space="preserve">Abstract: </w:t>
      </w:r>
      <w:r>
        <w:rPr>
          <w:rFonts w:ascii="Times New Roman" w:hAnsi="Times New Roman" w:cs="Times New Roman" w:eastAsia="Times New Roman"/>
          <w:b w:val="0"/>
          <w:i/>
          <w:sz w:val="28"/>
        </w:rPr>
        <w:t>The paper addresses the problem of configuration code redundancy and configuration drift in the management of heterogeneous computing infrastructure. It is shown that traditional configuration management tools implement a convergent state management model, in which the complete elimination of configuration drift is in principle unattainable. An alternative is the congruent model implemented in declarative operating systems. An integral configuration management quality index is proposed that combines the module reusability ratio, modularity, code reduction and redundancy with justified weighting coefficients and a system of constraints. A three-tier architecture «modules — suites — profiles» with a profile inheritance mechanism is developed; the architecture implements a congruent state management model on top of the declarative operating system NixOS and the Snowfall Lib framework. Experimental evaluation of the implemented system, managing three hosts of different purposes, demonstrated the achievement of the target values for four indicators out of six. The time required to add a new host was reduced from 60–120 to 10–15 minutes. With respect to the integral quality index, the proposed system outperforms common convergent tools by a factor of 1.6 to 2. A positive scaling effect is established: as the infrastructure grows to 10 hosts, a further increase in the reusability and modularity indicators is predicted.</w:t>
      </w:r>
    </w:p>
    <w:p>
      <w:pPr>
        <w:spacing w:lineRule="auto" w:line="240" w:before="0" w:after="0"/>
        <w:ind w:firstLine="709"/>
        <w:jc w:val="both"/>
      </w:pPr>
    </w:p>
    <w:p>
      <w:pPr>
        <w:spacing w:lineRule="auto" w:line="240" w:before="0" w:after="0"/>
        <w:ind w:firstLine="709"/>
        <w:jc w:val="both"/>
      </w:pPr>
      <w:r>
        <w:rPr>
          <w:rFonts w:ascii="Times New Roman" w:hAnsi="Times New Roman" w:cs="Times New Roman" w:eastAsia="Times New Roman"/>
          <w:b w:val="0"/>
          <w:i/>
          <w:sz w:val="28"/>
        </w:rPr>
        <w:t>Ключевые слова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управление конфигурацией; Infrastructure as Code; NixOS; декларативный подход; модульная архитектура; конгруэнтная модель; Snowfall Lib; DevOps</w:t>
      </w:r>
    </w:p>
    <w:p>
      <w:pPr>
        <w:spacing w:lineRule="auto" w:line="240" w:before="0" w:after="0"/>
        <w:ind w:firstLine="709"/>
        <w:jc w:val="both"/>
      </w:pPr>
      <w:r>
        <w:rPr>
          <w:rFonts w:ascii="Times New Roman" w:hAnsi="Times New Roman" w:cs="Times New Roman" w:eastAsia="Times New Roman"/>
          <w:b w:val="0"/>
          <w:i/>
          <w:sz w:val="28"/>
        </w:rPr>
        <w:t xml:space="preserve">Key words: </w:t>
      </w:r>
      <w:r>
        <w:rPr>
          <w:rFonts w:ascii="Times New Roman" w:hAnsi="Times New Roman" w:cs="Times New Roman" w:eastAsia="Times New Roman"/>
          <w:b w:val="0"/>
          <w:i/>
          <w:sz w:val="28"/>
        </w:rPr>
        <w:t>configuration management; Infrastructure as Code; NixOS; declarative approach; modular architecture; congruent model; Snowfall Lib; DevOps</w:t>
      </w:r>
    </w:p>
    <w:p>
      <w:pPr>
        <w:spacing w:lineRule="auto" w:line="240" w:before="0" w:after="0"/>
        <w:ind w:firstLine="709"/>
        <w:jc w:val="both"/>
      </w:pPr>
    </w:p>
    <w:p>
      <w:pPr>
        <w:spacing w:lineRule="auto" w:line="360" w:before="60" w:after="60"/>
        <w:ind w:firstLine="850"/>
        <w:jc w:val="both"/>
      </w:pPr>
      <w:r>
        <w:rPr>
          <w:rFonts w:ascii="Times New Roman" w:hAnsi="Times New Roman" w:cs="Times New Roman" w:eastAsia="Times New Roman"/>
          <w:b/>
          <w:i w:val="0"/>
          <w:sz w:val="28"/>
        </w:rPr>
        <w:t>Введение.</w:t>
      </w:r>
    </w:p>
    <w:p>
      <w:pPr>
        <w:spacing w:lineRule="auto" w:line="360" w:before="60" w:after="60"/>
        <w:ind w:firstLine="850"/>
        <w:jc w:val="both"/>
      </w:pPr>
      <w:r>
        <w:rPr>
          <w:rFonts w:ascii="Times New Roman" w:hAnsi="Times New Roman" w:cs="Times New Roman" w:eastAsia="Times New Roman"/>
          <w:b w:val="0"/>
          <w:i w:val="0"/>
          <w:sz w:val="28"/>
        </w:rPr>
        <w:t>В условиях цифровой трансформации сложность вычислительной инфраструктуры организаций непрерывно возрастает. Каждая среда — от рабочих станций разработчиков до серверов и кластерных узлов — требует согласованной настройки десятков и сотен параметров операционной системы и прикладных сервисов. Согласно отчёту Uptime Institute «Annual Outage Analysis 2023», 45 % респондентов указали ошибки конфигурации и управления изменениями в качестве одной из наиболее распространённых причин сетевых отказов, а для крупных простоев на уровне ИТ-систем доля подобных инцидентов составила 40 % [1]. По данным New Relic, медианная годовая стоимость ИТ-простоев достигает 7,75 млн долл., а 32 % организаций оценивают стоимость критических простоев более чем в 500 тыс. долл. в час [2].</w:t>
      </w:r>
    </w:p>
    <w:p>
      <w:pPr>
        <w:spacing w:lineRule="auto" w:line="360" w:before="60" w:after="60"/>
        <w:ind w:firstLine="850"/>
        <w:jc w:val="both"/>
      </w:pPr>
      <w:r>
        <w:rPr>
          <w:rFonts w:ascii="Times New Roman" w:hAnsi="Times New Roman" w:cs="Times New Roman" w:eastAsia="Times New Roman"/>
          <w:b w:val="0"/>
          <w:i w:val="0"/>
          <w:sz w:val="28"/>
        </w:rPr>
        <w:t>Дополнительной системной проблемой является конфигурационный дрейф (configuration drift) — постепенное расхождение фактического состояния хостов с документированным описанием. Подобный дрейф формируется вследствие ручных правок, несогласованных процессов развёртывания и временных исправлений, которые не фиксируются в системах управления версиями [3]. Совместное исследование EMA и Itential показало, что только 34 % специалистов по сетевому администрированию полностью удовлетворены существующими инструментами управления конфигурациями, а 75 % организаций обеспокоены возможными ошибками при их применении [4].</w:t>
      </w:r>
    </w:p>
    <w:p>
      <w:pPr>
        <w:spacing w:lineRule="auto" w:line="360" w:before="60" w:after="60"/>
        <w:ind w:firstLine="850"/>
        <w:jc w:val="both"/>
      </w:pPr>
      <w:r>
        <w:rPr>
          <w:rFonts w:ascii="Times New Roman" w:hAnsi="Times New Roman" w:cs="Times New Roman" w:eastAsia="Times New Roman"/>
          <w:b w:val="0"/>
          <w:i w:val="0"/>
          <w:sz w:val="28"/>
        </w:rPr>
        <w:t>Традиционные инструменты управления конфигурацией (Ansible, Puppet, Chef) реализуют конвергентную модель управления состоянием: декларация описывает целевое состояние, после чего агент последовательно сравнивает текущее состояние с целевым и применяет корректирующие действия. Подобная модель в принципе не исключает configuration drift, поскольку описание целевого состояния практически всегда неполно и в системе сохраняются побочные эффекты предыдущих операций [5]. Альтернативой является конгруэнтная модель, реализованная в декларативных операционных системах NixOS и GNU Guix: состояние системы полностью определяется декларативным описанием и атомарно пересоздаётся при каждом изменении [6, 7].</w:t>
      </w:r>
    </w:p>
    <w:p>
      <w:pPr>
        <w:spacing w:lineRule="auto" w:line="360" w:before="60" w:after="60"/>
        <w:ind w:firstLine="850"/>
        <w:jc w:val="both"/>
      </w:pPr>
      <w:r>
        <w:rPr>
          <w:rFonts w:ascii="Times New Roman" w:hAnsi="Times New Roman" w:cs="Times New Roman" w:eastAsia="Times New Roman"/>
          <w:b w:val="0"/>
          <w:i w:val="0"/>
          <w:sz w:val="28"/>
        </w:rPr>
        <w:t>Принцип DRY (Don't Repeat Yourself) [8] широко применяется в разработке прикладного программного обеспечения, однако в области управления конфигурацией инфраструктуры методики его систематического применения проработаны недостаточно. При прямолинейном использовании NixOS для нескольких хостов возникает избыточность: одинаковые настройки копируются из одной конфигурации в другую, что нивелирует ключевое преимущество декларативного подхода.</w:t>
      </w:r>
    </w:p>
    <w:p>
      <w:pPr>
        <w:spacing w:lineRule="auto" w:line="360" w:before="60" w:after="60"/>
        <w:ind w:firstLine="850"/>
        <w:jc w:val="both"/>
      </w:pPr>
      <w:r>
        <w:rPr>
          <w:rFonts w:ascii="Times New Roman" w:hAnsi="Times New Roman" w:cs="Times New Roman" w:eastAsia="Times New Roman"/>
          <w:b/>
          <w:i w:val="0"/>
          <w:sz w:val="28"/>
        </w:rPr>
        <w:t>Цель исследования.</w:t>
      </w:r>
    </w:p>
    <w:p>
      <w:pPr>
        <w:spacing w:lineRule="auto" w:line="360" w:before="60" w:after="60"/>
        <w:ind w:firstLine="850"/>
        <w:jc w:val="both"/>
      </w:pPr>
      <w:r>
        <w:rPr>
          <w:rFonts w:ascii="Times New Roman" w:hAnsi="Times New Roman" w:cs="Times New Roman" w:eastAsia="Times New Roman"/>
          <w:b w:val="0"/>
          <w:i w:val="0"/>
          <w:sz w:val="28"/>
        </w:rPr>
        <w:t>Целью исследования является разработка системы управления конфигурацией вычислительной инфраструктуры на базе декларативной операционной системы NixOS, обеспечивающей максимизацию переиспользования конфигурационных модулей и минимизацию избыточности кода, а также количественная оценка достигаемого эффекта.</w:t>
      </w:r>
    </w:p>
    <w:p>
      <w:pPr>
        <w:spacing w:lineRule="auto" w:line="360" w:before="60" w:after="60"/>
        <w:ind w:firstLine="850"/>
        <w:jc w:val="both"/>
      </w:pPr>
      <w:r>
        <w:rPr>
          <w:rFonts w:ascii="Times New Roman" w:hAnsi="Times New Roman" w:cs="Times New Roman" w:eastAsia="Times New Roman"/>
          <w:b w:val="0"/>
          <w:i w:val="0"/>
          <w:sz w:val="28"/>
        </w:rPr>
        <w:t>Для достижения цели в работе решены следующие задачи: разработана математическая модель оценки качества управления конфигурацией; спроектирована трёхуровневая модульная архитектура (модули — наборы — профили с механизмом наследования); реализована система для управления тремя хостами различного назначения; проведена экспериментальная оценка показателей качества и сравнение с конвергентными аналогами.</w:t>
      </w:r>
    </w:p>
    <w:p>
      <w:pPr>
        <w:spacing w:lineRule="auto" w:line="360" w:before="60" w:after="60"/>
        <w:ind w:firstLine="850"/>
        <w:jc w:val="both"/>
      </w:pPr>
      <w:r>
        <w:rPr>
          <w:rFonts w:ascii="Times New Roman" w:hAnsi="Times New Roman" w:cs="Times New Roman" w:eastAsia="Times New Roman"/>
          <w:b/>
          <w:i w:val="0"/>
          <w:sz w:val="28"/>
        </w:rPr>
        <w:t>Материал и методы исследования.</w:t>
      </w:r>
    </w:p>
    <w:p>
      <w:pPr>
        <w:spacing w:lineRule="auto" w:line="360" w:before="60" w:after="60"/>
        <w:ind w:firstLine="850"/>
        <w:jc w:val="both"/>
      </w:pPr>
      <w:r>
        <w:rPr>
          <w:rFonts w:ascii="Times New Roman" w:hAnsi="Times New Roman" w:cs="Times New Roman" w:eastAsia="Times New Roman"/>
          <w:b w:val="0"/>
          <w:i w:val="0"/>
          <w:sz w:val="28"/>
        </w:rPr>
        <w:t>В исследовании применяется классификация моделей управления состоянием, выделяющая три типа: дивергентную, конвергентную и конгруэнтную. При дивергентном управлении состояние системы изменяется неконтролируемо посредством ручных интервенций, что неизбежно приводит к появлению уникальных «хостов-снежинок». Конвергентное управление сравнивает текущее состояние с целевым и последовательно приближает их друг к другу, не гарантируя при этом исключение configuration drift [5]. Конгруэнтное управление обеспечивает принудительное соответствие системы её декларативному описанию — состояние полностью пересоздаётся при каждом изменении конфигурации [7]. Сравнение моделей по ключевым характеристикам приведено в таблице 1.</w:t>
      </w:r>
    </w:p>
    <w:p>
      <w:pPr>
        <w:spacing w:lineRule="auto" w:line="360" w:before="60" w:after="60"/>
        <w:ind w:firstLine="850"/>
        <w:jc w:val="both"/>
      </w:pPr>
      <w:r>
        <w:rPr>
          <w:rFonts w:ascii="Times New Roman" w:hAnsi="Times New Roman" w:cs="Times New Roman" w:eastAsia="Times New Roman"/>
          <w:b w:val="0"/>
          <w:i w:val="0"/>
          <w:sz w:val="28"/>
        </w:rPr>
        <w:t>Таблица 1. Сравнение моделей управления состоянием инфраструктуры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type="dxa"/>
        <w:gridCol w:w="2154" w:type="dxa"/>
        <w:gridCol w:w="2211" w:type="dxa"/>
        <w:gridCol w:w="2154" w:type="dxa"/>
      </w:tblGrid>
      <w:tr>
        <w:trPr>
          <w:cantSplit/>
          <w:tblHeader/>
        </w:trPr>
        <w:tc>
          <w:tcPr>
            <w:tcW w:type="dxa" w:w="2835"/>
          </w:tcPr>
          <w:p>
            <w:pPr>
              <w:spacing w:lineRule="auto" w:line="240" w:before="0" w:after="0"/>
              <w:jc w:val="center"/>
            </w:pPr>
            <w:r/>
            <w:r>
              <w:rPr>
                <w:rFonts w:ascii="Times New Roman" w:hAnsi="Times New Roman" w:cs="Times New Roman" w:eastAsia="Times New Roman"/>
                <w:b/>
                <w:i w:val="0"/>
                <w:sz w:val="28"/>
              </w:rPr>
              <w:t>Характеристика</w:t>
            </w:r>
          </w:p>
        </w:tc>
        <w:tc>
          <w:tcPr>
            <w:tcW w:type="dxa" w:w="2154"/>
          </w:tcPr>
          <w:p>
            <w:pPr>
              <w:spacing w:lineRule="auto" w:line="240" w:before="0" w:after="0"/>
              <w:jc w:val="center"/>
            </w:pPr>
            <w:r/>
            <w:r>
              <w:rPr>
                <w:rFonts w:ascii="Times New Roman" w:hAnsi="Times New Roman" w:cs="Times New Roman" w:eastAsia="Times New Roman"/>
                <w:b/>
                <w:i w:val="0"/>
                <w:sz w:val="28"/>
              </w:rPr>
              <w:t>Дивергентная</w:t>
            </w:r>
          </w:p>
        </w:tc>
        <w:tc>
          <w:tcPr>
            <w:tcW w:type="dxa" w:w="2211"/>
          </w:tcPr>
          <w:p>
            <w:pPr>
              <w:spacing w:lineRule="auto" w:line="240" w:before="0" w:after="0"/>
              <w:jc w:val="center"/>
            </w:pPr>
            <w:r/>
            <w:r>
              <w:rPr>
                <w:rFonts w:ascii="Times New Roman" w:hAnsi="Times New Roman" w:cs="Times New Roman" w:eastAsia="Times New Roman"/>
                <w:b/>
                <w:i w:val="0"/>
                <w:sz w:val="28"/>
              </w:rPr>
              <w:t>Конвергентная</w:t>
            </w:r>
          </w:p>
        </w:tc>
        <w:tc>
          <w:tcPr>
            <w:tcW w:type="dxa" w:w="2154"/>
          </w:tcPr>
          <w:p>
            <w:pPr>
              <w:spacing w:lineRule="auto" w:line="240" w:before="0" w:after="0"/>
              <w:jc w:val="center"/>
            </w:pPr>
            <w:r/>
            <w:r>
              <w:rPr>
                <w:rFonts w:ascii="Times New Roman" w:hAnsi="Times New Roman" w:cs="Times New Roman" w:eastAsia="Times New Roman"/>
                <w:b/>
                <w:i w:val="0"/>
                <w:sz w:val="28"/>
              </w:rPr>
              <w:t>Конгруэнтная</w:t>
            </w:r>
          </w:p>
        </w:tc>
      </w:tr>
      <w:tr>
        <w:trPr>
          <w:cantSplit/>
        </w:trPr>
        <w:tc>
          <w:tcPr>
            <w:tcW w:type="dxa" w:w="2835"/>
          </w:tcPr>
          <w:p>
            <w:pPr>
              <w:spacing w:lineRule="auto" w:line="240" w:before="0" w:after="0"/>
              <w:jc w:val="center"/>
            </w:pPr>
            <w:r/>
            <w:r>
              <w:rPr>
                <w:rFonts w:ascii="Times New Roman" w:hAnsi="Times New Roman" w:cs="Times New Roman" w:eastAsia="Times New Roman"/>
                <w:b w:val="0"/>
                <w:i w:val="0"/>
                <w:sz w:val="28"/>
              </w:rPr>
              <w:t>Предсказуемость</w:t>
            </w:r>
          </w:p>
        </w:tc>
        <w:tc>
          <w:tcPr>
            <w:tcW w:type="dxa" w:w="2154"/>
          </w:tcPr>
          <w:p>
            <w:pPr>
              <w:spacing w:lineRule="auto" w:line="240" w:before="0" w:after="0"/>
              <w:jc w:val="left"/>
            </w:pPr>
            <w:r/>
            <w:r>
              <w:rPr>
                <w:rFonts w:ascii="Times New Roman" w:hAnsi="Times New Roman" w:cs="Times New Roman" w:eastAsia="Times New Roman"/>
                <w:b w:val="0"/>
                <w:i w:val="0"/>
                <w:sz w:val="28"/>
              </w:rPr>
              <w:t>Низкая</w:t>
            </w:r>
          </w:p>
        </w:tc>
        <w:tc>
          <w:tcPr>
            <w:tcW w:type="dxa" w:w="2211"/>
          </w:tcPr>
          <w:p>
            <w:pPr>
              <w:spacing w:lineRule="auto" w:line="240" w:before="0" w:after="0"/>
              <w:jc w:val="left"/>
            </w:pPr>
            <w:r/>
            <w:r>
              <w:rPr>
                <w:rFonts w:ascii="Times New Roman" w:hAnsi="Times New Roman" w:cs="Times New Roman" w:eastAsia="Times New Roman"/>
                <w:b w:val="0"/>
                <w:i w:val="0"/>
                <w:sz w:val="28"/>
              </w:rPr>
              <w:t>Средняя</w:t>
            </w:r>
          </w:p>
        </w:tc>
        <w:tc>
          <w:tcPr>
            <w:tcW w:type="dxa" w:w="2154"/>
          </w:tcPr>
          <w:p>
            <w:pPr>
              <w:spacing w:lineRule="auto" w:line="240" w:before="0" w:after="0"/>
              <w:jc w:val="left"/>
            </w:pPr>
            <w:r/>
            <w:r>
              <w:rPr>
                <w:rFonts w:ascii="Times New Roman" w:hAnsi="Times New Roman" w:cs="Times New Roman" w:eastAsia="Times New Roman"/>
                <w:b w:val="0"/>
                <w:i w:val="0"/>
                <w:sz w:val="28"/>
              </w:rPr>
              <w:t>Высокая</w:t>
            </w:r>
          </w:p>
        </w:tc>
      </w:tr>
      <w:tr>
        <w:trPr>
          <w:cantSplit/>
        </w:trPr>
        <w:tc>
          <w:tcPr>
            <w:tcW w:type="dxa" w:w="2835"/>
          </w:tcPr>
          <w:p>
            <w:pPr>
              <w:spacing w:lineRule="auto" w:line="240" w:before="0" w:after="0"/>
              <w:jc w:val="center"/>
            </w:pPr>
            <w:r/>
            <w:r>
              <w:rPr>
                <w:rFonts w:ascii="Times New Roman" w:hAnsi="Times New Roman" w:cs="Times New Roman" w:eastAsia="Times New Roman"/>
                <w:b w:val="0"/>
                <w:i w:val="0"/>
                <w:sz w:val="28"/>
              </w:rPr>
              <w:t>Воспроизводимость</w:t>
            </w:r>
          </w:p>
        </w:tc>
        <w:tc>
          <w:tcPr>
            <w:tcW w:type="dxa" w:w="2154"/>
          </w:tcPr>
          <w:p>
            <w:pPr>
              <w:spacing w:lineRule="auto" w:line="240" w:before="0" w:after="0"/>
              <w:jc w:val="left"/>
            </w:pPr>
            <w:r/>
            <w:r>
              <w:rPr>
                <w:rFonts w:ascii="Times New Roman" w:hAnsi="Times New Roman" w:cs="Times New Roman" w:eastAsia="Times New Roman"/>
                <w:b w:val="0"/>
                <w:i w:val="0"/>
                <w:sz w:val="28"/>
              </w:rPr>
              <w:t>Отсутствует</w:t>
            </w:r>
          </w:p>
        </w:tc>
        <w:tc>
          <w:tcPr>
            <w:tcW w:type="dxa" w:w="2211"/>
          </w:tcPr>
          <w:p>
            <w:pPr>
              <w:spacing w:lineRule="auto" w:line="240" w:before="0" w:after="0"/>
              <w:jc w:val="left"/>
            </w:pPr>
            <w:r/>
            <w:r>
              <w:rPr>
                <w:rFonts w:ascii="Times New Roman" w:hAnsi="Times New Roman" w:cs="Times New Roman" w:eastAsia="Times New Roman"/>
                <w:b w:val="0"/>
                <w:i w:val="0"/>
                <w:sz w:val="28"/>
              </w:rPr>
              <w:t>Частичная</w:t>
            </w:r>
          </w:p>
        </w:tc>
        <w:tc>
          <w:tcPr>
            <w:tcW w:type="dxa" w:w="2154"/>
          </w:tcPr>
          <w:p>
            <w:pPr>
              <w:spacing w:lineRule="auto" w:line="240" w:before="0" w:after="0"/>
              <w:jc w:val="left"/>
            </w:pPr>
            <w:r/>
            <w:r>
              <w:rPr>
                <w:rFonts w:ascii="Times New Roman" w:hAnsi="Times New Roman" w:cs="Times New Roman" w:eastAsia="Times New Roman"/>
                <w:b w:val="0"/>
                <w:i w:val="0"/>
                <w:sz w:val="28"/>
              </w:rPr>
              <w:t>Полная</w:t>
            </w:r>
          </w:p>
        </w:tc>
      </w:tr>
      <w:tr>
        <w:trPr>
          <w:cantSplit/>
        </w:trPr>
        <w:tc>
          <w:tcPr>
            <w:tcW w:type="dxa" w:w="2835"/>
          </w:tcPr>
          <w:p>
            <w:pPr>
              <w:spacing w:lineRule="auto" w:line="240" w:before="0" w:after="0"/>
              <w:jc w:val="center"/>
            </w:pPr>
            <w:r/>
            <w:r>
              <w:rPr>
                <w:rFonts w:ascii="Times New Roman" w:hAnsi="Times New Roman" w:cs="Times New Roman" w:eastAsia="Times New Roman"/>
                <w:b w:val="0"/>
                <w:i w:val="0"/>
                <w:sz w:val="28"/>
              </w:rPr>
              <w:t>Configuration drift</w:t>
            </w:r>
          </w:p>
        </w:tc>
        <w:tc>
          <w:tcPr>
            <w:tcW w:type="dxa" w:w="2154"/>
          </w:tcPr>
          <w:p>
            <w:pPr>
              <w:spacing w:lineRule="auto" w:line="240" w:before="0" w:after="0"/>
              <w:jc w:val="left"/>
            </w:pPr>
            <w:r/>
            <w:r>
              <w:rPr>
                <w:rFonts w:ascii="Times New Roman" w:hAnsi="Times New Roman" w:cs="Times New Roman" w:eastAsia="Times New Roman"/>
                <w:b w:val="0"/>
                <w:i w:val="0"/>
                <w:sz w:val="28"/>
              </w:rPr>
              <w:t>Неизбежен</w:t>
            </w:r>
          </w:p>
        </w:tc>
        <w:tc>
          <w:tcPr>
            <w:tcW w:type="dxa" w:w="2211"/>
          </w:tcPr>
          <w:p>
            <w:pPr>
              <w:spacing w:lineRule="auto" w:line="240" w:before="0" w:after="0"/>
              <w:jc w:val="left"/>
            </w:pPr>
            <w:r/>
            <w:r>
              <w:rPr>
                <w:rFonts w:ascii="Times New Roman" w:hAnsi="Times New Roman" w:cs="Times New Roman" w:eastAsia="Times New Roman"/>
                <w:b w:val="0"/>
                <w:i w:val="0"/>
                <w:sz w:val="28"/>
              </w:rPr>
              <w:t>Возможен</w:t>
            </w:r>
          </w:p>
        </w:tc>
        <w:tc>
          <w:tcPr>
            <w:tcW w:type="dxa" w:w="2154"/>
          </w:tcPr>
          <w:p>
            <w:pPr>
              <w:spacing w:lineRule="auto" w:line="240" w:before="0" w:after="0"/>
              <w:jc w:val="left"/>
            </w:pPr>
            <w:r/>
            <w:r>
              <w:rPr>
                <w:rFonts w:ascii="Times New Roman" w:hAnsi="Times New Roman" w:cs="Times New Roman" w:eastAsia="Times New Roman"/>
                <w:b w:val="0"/>
                <w:i w:val="0"/>
                <w:sz w:val="28"/>
              </w:rPr>
              <w:t>Исключён</w:t>
            </w:r>
          </w:p>
        </w:tc>
      </w:tr>
      <w:tr>
        <w:trPr>
          <w:cantSplit/>
        </w:trPr>
        <w:tc>
          <w:tcPr>
            <w:tcW w:type="dxa" w:w="2835"/>
          </w:tcPr>
          <w:p>
            <w:pPr>
              <w:spacing w:lineRule="auto" w:line="240" w:before="0" w:after="0"/>
              <w:jc w:val="center"/>
            </w:pPr>
            <w:r/>
            <w:r>
              <w:rPr>
                <w:rFonts w:ascii="Times New Roman" w:hAnsi="Times New Roman" w:cs="Times New Roman" w:eastAsia="Times New Roman"/>
                <w:b w:val="0"/>
                <w:i w:val="0"/>
                <w:sz w:val="28"/>
              </w:rPr>
              <w:t>Откат изменений</w:t>
            </w:r>
          </w:p>
        </w:tc>
        <w:tc>
          <w:tcPr>
            <w:tcW w:type="dxa" w:w="2154"/>
          </w:tcPr>
          <w:p>
            <w:pPr>
              <w:spacing w:lineRule="auto" w:line="240" w:before="0" w:after="0"/>
              <w:jc w:val="left"/>
            </w:pPr>
            <w:r/>
            <w:r>
              <w:rPr>
                <w:rFonts w:ascii="Times New Roman" w:hAnsi="Times New Roman" w:cs="Times New Roman" w:eastAsia="Times New Roman"/>
                <w:b w:val="0"/>
                <w:i w:val="0"/>
                <w:sz w:val="28"/>
              </w:rPr>
              <w:t>Невозможен</w:t>
            </w:r>
          </w:p>
        </w:tc>
        <w:tc>
          <w:tcPr>
            <w:tcW w:type="dxa" w:w="2211"/>
          </w:tcPr>
          <w:p>
            <w:pPr>
              <w:spacing w:lineRule="auto" w:line="240" w:before="0" w:after="0"/>
              <w:jc w:val="left"/>
            </w:pPr>
            <w:r/>
            <w:r>
              <w:rPr>
                <w:rFonts w:ascii="Times New Roman" w:hAnsi="Times New Roman" w:cs="Times New Roman" w:eastAsia="Times New Roman"/>
                <w:b w:val="0"/>
                <w:i w:val="0"/>
                <w:sz w:val="28"/>
              </w:rPr>
              <w:t>Сложен</w:t>
            </w:r>
          </w:p>
        </w:tc>
        <w:tc>
          <w:tcPr>
            <w:tcW w:type="dxa" w:w="2154"/>
          </w:tcPr>
          <w:p>
            <w:pPr>
              <w:spacing w:lineRule="auto" w:line="240" w:before="0" w:after="0"/>
              <w:jc w:val="left"/>
            </w:pPr>
            <w:r/>
            <w:r>
              <w:rPr>
                <w:rFonts w:ascii="Times New Roman" w:hAnsi="Times New Roman" w:cs="Times New Roman" w:eastAsia="Times New Roman"/>
                <w:b w:val="0"/>
                <w:i w:val="0"/>
                <w:sz w:val="28"/>
              </w:rPr>
              <w:t>Тривиален</w:t>
            </w:r>
          </w:p>
        </w:tc>
      </w:tr>
      <w:tr>
        <w:trPr>
          <w:cantSplit/>
        </w:trPr>
        <w:tc>
          <w:tcPr>
            <w:tcW w:type="dxa" w:w="2835"/>
          </w:tcPr>
          <w:p>
            <w:pPr>
              <w:spacing w:lineRule="auto" w:line="240" w:before="0" w:after="0"/>
              <w:jc w:val="center"/>
            </w:pPr>
            <w:r/>
            <w:r>
              <w:rPr>
                <w:rFonts w:ascii="Times New Roman" w:hAnsi="Times New Roman" w:cs="Times New Roman" w:eastAsia="Times New Roman"/>
                <w:b w:val="0"/>
                <w:i w:val="0"/>
                <w:sz w:val="28"/>
              </w:rPr>
              <w:t>Примеры</w:t>
            </w:r>
          </w:p>
        </w:tc>
        <w:tc>
          <w:tcPr>
            <w:tcW w:type="dxa" w:w="2154"/>
          </w:tcPr>
          <w:p>
            <w:pPr>
              <w:spacing w:lineRule="auto" w:line="240" w:before="0" w:after="0"/>
              <w:jc w:val="left"/>
            </w:pPr>
            <w:r/>
            <w:r>
              <w:rPr>
                <w:rFonts w:ascii="Times New Roman" w:hAnsi="Times New Roman" w:cs="Times New Roman" w:eastAsia="Times New Roman"/>
                <w:b w:val="0"/>
                <w:i w:val="0"/>
                <w:sz w:val="28"/>
              </w:rPr>
              <w:t>Ручное SSH</w:t>
            </w:r>
          </w:p>
        </w:tc>
        <w:tc>
          <w:tcPr>
            <w:tcW w:type="dxa" w:w="2211"/>
          </w:tcPr>
          <w:p>
            <w:pPr>
              <w:spacing w:lineRule="auto" w:line="240" w:before="0" w:after="0"/>
              <w:jc w:val="left"/>
            </w:pPr>
            <w:r/>
            <w:r>
              <w:rPr>
                <w:rFonts w:ascii="Times New Roman" w:hAnsi="Times New Roman" w:cs="Times New Roman" w:eastAsia="Times New Roman"/>
                <w:b w:val="0"/>
                <w:i w:val="0"/>
                <w:sz w:val="28"/>
              </w:rPr>
              <w:t>Ansible, Puppet</w:t>
            </w:r>
          </w:p>
        </w:tc>
        <w:tc>
          <w:tcPr>
            <w:tcW w:type="dxa" w:w="2154"/>
          </w:tcPr>
          <w:p>
            <w:pPr>
              <w:spacing w:lineRule="auto" w:line="240" w:before="0" w:after="0"/>
              <w:jc w:val="left"/>
            </w:pPr>
            <w:r/>
            <w:r>
              <w:rPr>
                <w:rFonts w:ascii="Times New Roman" w:hAnsi="Times New Roman" w:cs="Times New Roman" w:eastAsia="Times New Roman"/>
                <w:b w:val="0"/>
                <w:i w:val="0"/>
                <w:sz w:val="28"/>
              </w:rPr>
              <w:t>NixOS, Guix</w:t>
            </w:r>
          </w:p>
        </w:tc>
      </w:tr>
    </w:tbl>
    <w:p>
      <w:pPr>
        <w:spacing w:lineRule="auto" w:line="360" w:before="60" w:after="60"/>
        <w:jc w:val="both"/>
      </w:pPr>
      <w:r>
        <w:rPr>
          <w:rFonts w:ascii="Times New Roman" w:hAnsi="Times New Roman" w:cs="Times New Roman" w:eastAsia="Times New Roman"/>
          <w:b w:val="0"/>
          <w:i/>
          <w:sz w:val="28"/>
        </w:rPr>
        <w:t>Источник: составлено автором</w:t>
      </w:r>
    </w:p>
    <w:p>
      <w:pPr>
        <w:spacing w:lineRule="auto" w:line="360" w:before="60" w:after="60"/>
        <w:ind w:firstLine="850"/>
        <w:jc w:val="both"/>
      </w:pPr>
      <w:r>
        <w:rPr>
          <w:rFonts w:ascii="Times New Roman" w:hAnsi="Times New Roman" w:cs="Times New Roman" w:eastAsia="Times New Roman"/>
          <w:b w:val="0"/>
          <w:i w:val="0"/>
          <w:sz w:val="28"/>
        </w:rPr>
        <w:t>Для количественного сравнения архитектурных решений в работе предложен интегральный показатель качества управления конфигурацией Q_CM, который рассчитывается как линейная комбинация четырёх метрик: Q_CM = ω₁·R + ω₂·M + ω₃·S − ω₄·C → max, где R — коэффициент переиспользования модулей (reusability), M — степень модульности архитектуры (modularity), S — коэффициент сокращения кода (size reduction), C — избыточность конфигурации (code redundancy, штрафной фактор), ω₁,…,ω₄ — весовые коэффициенты, удовлетворяющие условию Σ ω_i = 1.</w:t>
      </w:r>
    </w:p>
    <w:p>
      <w:pPr>
        <w:spacing w:lineRule="auto" w:line="360" w:before="60" w:after="60"/>
        <w:ind w:firstLine="850"/>
        <w:jc w:val="both"/>
      </w:pPr>
      <w:r>
        <w:rPr>
          <w:rFonts w:ascii="Times New Roman" w:hAnsi="Times New Roman" w:cs="Times New Roman" w:eastAsia="Times New Roman"/>
          <w:b w:val="0"/>
          <w:i w:val="0"/>
          <w:sz w:val="28"/>
        </w:rPr>
        <w:t>Факторы вычисляются по следующим формулам. Коэффициент переиспользования модулей оценивает долю кода, повторно использованного более чем одним хостом, по отношению к суммарному объёму конфигурационного кода с учётом кратности применения: R = Σ LOC(m)·(U(m) − 1) / Σ LOC(m)·U(m), где M — множество модулей, LOC(m) — объём кода модуля m в строках, U(m) — число хостов, использующих модуль. Степень модульности равна доле модулей, применяемых не менее чем двумя хостами: M = |{m ∈ M : U(m) ≥ 2}| / |M|. Коэффициент сокращения кода характеризует относительное уменьшение объёма конфигурации хоста при переходе от изолированного описания к модульному: S = 1 − LOC_modular / LOC_isolated. Избыточность C оценивается как доля дублирующихся фрагментов кода (3-строчных k-грамм) в общем объёме конфигурации: C = LOC_dup / LOC_total.</w:t>
      </w:r>
    </w:p>
    <w:p>
      <w:pPr>
        <w:spacing w:lineRule="auto" w:line="360" w:before="60" w:after="60"/>
        <w:ind w:firstLine="850"/>
        <w:jc w:val="both"/>
      </w:pPr>
      <w:r>
        <w:rPr>
          <w:rFonts w:ascii="Times New Roman" w:hAnsi="Times New Roman" w:cs="Times New Roman" w:eastAsia="Times New Roman"/>
          <w:b w:val="0"/>
          <w:i w:val="0"/>
          <w:sz w:val="28"/>
        </w:rPr>
        <w:t>Весовые коэффициенты установлены экспертно с учётом приоритетов, характерных для систем управления конфигурацией: ω₁ = 0,35 (переиспользование), ω₂ = 0,25 (модульность), ω₃ = 0,25 (сокращение кода), ω₄ = 0,15 (штраф за избыточность). Система ограничений для целевых значений показателей имеет вид: R ≥ 0,50; M ≥ 0,60; S ≥ 0,40; C ≤ 0,10; T_deploy ≤ 15 минут. При достижении минимальных целевых значений Q_CM = 0,35·0,50 + 0,25·0,60 + 0,25·0,40 − 0,15·0,10 = 0,41, что и принимается в качестве порогового значения интегрального показателя.</w:t>
      </w:r>
    </w:p>
    <w:p>
      <w:pPr>
        <w:spacing w:lineRule="auto" w:line="360" w:before="60" w:after="60"/>
        <w:ind w:firstLine="850"/>
        <w:jc w:val="both"/>
      </w:pPr>
      <w:r>
        <w:rPr>
          <w:rFonts w:ascii="Times New Roman" w:hAnsi="Times New Roman" w:cs="Times New Roman" w:eastAsia="Times New Roman"/>
          <w:b w:val="0"/>
          <w:i w:val="0"/>
          <w:sz w:val="28"/>
        </w:rPr>
        <w:t>Для устранения избыточности конфигурационного кода при сохранении конгруэнтной модели управления предложена трёхуровневая архитектура, включающая уровни модулей, наборов и профилей. Модули представляют собой атомарные, переиспользуемые конфигурационные компоненты, отвечающие за один аспект системы (например, сервис Docker, аудиоподсистема, настройки SSH). Каждый модуль предоставляет параметризованный интерфейс через атрибут options и применяет конфигурацию по флагу enable. Наборы (suites) — логически связанные группы модулей, объединённых по функциональному назначению. Профили определяют роли машин и поддерживают наследование через атрибут extends; наследование является аддитивным.</w:t>
      </w:r>
    </w:p>
    <w:p>
      <w:pPr>
        <w:spacing w:lineRule="auto" w:line="360" w:before="60" w:after="60"/>
        <w:ind w:firstLine="850"/>
        <w:jc w:val="both"/>
      </w:pPr>
      <w:r>
        <w:rPr>
          <w:rFonts w:ascii="Times New Roman" w:hAnsi="Times New Roman" w:cs="Times New Roman" w:eastAsia="Times New Roman"/>
          <w:b w:val="0"/>
          <w:i w:val="0"/>
          <w:sz w:val="28"/>
        </w:rPr>
        <w:t>В качестве операционной системы выбрана NixOS 25.11 — декларативный дистрибутив Linux, реализующий конгруэнтную модель управления через пакетный менеджер Nix [7]. Для структурирования Nix Flakes применён фреймворк Snowfall Lib, обеспечивающий стандартизированную структуру директорий и автоматическое обнаружение модулей и хостов [9]. Удалённое развёртывание реализовано через утилиту deploy-rs с механизмом Magic Rollback: при отсутствии подтверждения успешного применения конфигурации в течение 60 секунд хост автоматически возвращается к предыдущему поколению.</w:t>
      </w:r>
    </w:p>
    <w:p>
      <w:pPr>
        <w:spacing w:lineRule="auto" w:line="360" w:before="60" w:after="60"/>
        <w:ind w:firstLine="850"/>
        <w:jc w:val="both"/>
      </w:pPr>
      <w:r>
        <w:rPr>
          <w:rFonts w:ascii="Times New Roman" w:hAnsi="Times New Roman" w:cs="Times New Roman" w:eastAsia="Times New Roman"/>
          <w:b w:val="0"/>
          <w:i w:val="0"/>
          <w:sz w:val="28"/>
        </w:rPr>
        <w:t>Управляющий репозиторий vladOS-v2 содержит 25 NixOS-модулей общим объёмом 2 397 строк кода, 7 модулей home-manager (659 строк), 5 наборов (570 строк) и 13 профилей (6 desktop- и 7 server-профилей). Общий объём кодовой базы составляет около 6 200 строк в более чем 70 Nix-файлах. Численные значения показателей R, M, S, C и Q_CM получены автоматически по исходному коду репозитория с помощью разработанного скрипта на Python.</w:t>
      </w:r>
    </w:p>
    <w:p>
      <w:pPr>
        <w:spacing w:lineRule="auto" w:line="360" w:before="60" w:after="60"/>
        <w:ind w:firstLine="850"/>
        <w:jc w:val="both"/>
      </w:pPr>
      <w:r>
        <w:rPr>
          <w:rFonts w:ascii="Times New Roman" w:hAnsi="Times New Roman" w:cs="Times New Roman" w:eastAsia="Times New Roman"/>
          <w:b/>
          <w:i w:val="0"/>
          <w:sz w:val="28"/>
        </w:rPr>
        <w:t>Результаты исследования и их обсуждение.</w:t>
      </w:r>
    </w:p>
    <w:p>
      <w:pPr>
        <w:spacing w:lineRule="auto" w:line="360" w:before="60" w:after="60"/>
        <w:ind w:firstLine="850"/>
        <w:jc w:val="both"/>
      </w:pPr>
      <w:r>
        <w:rPr>
          <w:rFonts w:ascii="Times New Roman" w:hAnsi="Times New Roman" w:cs="Times New Roman" w:eastAsia="Times New Roman"/>
          <w:b w:val="0"/>
          <w:i w:val="0"/>
          <w:sz w:val="28"/>
        </w:rPr>
        <w:t>Разработанная система используется для централизованного управления тремя физическими хостами различного назначения: рабочей станцией разработчика (профиль developer, 221 строка специфичной конфигурации), рабочим узлом Kubernetes-кластера с GPU NVIDIA (профиль server-k3s-agent, 150 строк) и узлом, совмещающим функции CI-раннера и файлового хранилища (профили server-ci и server-storage, 205 строк). В среднем объём специфичного для хоста кода составил 192 строки против 500 строк при изолированной конфигурации, что соответствует сокращению на 62 %.</w:t>
      </w:r>
    </w:p>
    <w:p>
      <w:pPr>
        <w:spacing w:lineRule="auto" w:line="360" w:before="60" w:after="60"/>
        <w:ind w:firstLine="850"/>
        <w:jc w:val="both"/>
      </w:pPr>
      <w:r>
        <w:rPr>
          <w:rFonts w:ascii="Times New Roman" w:hAnsi="Times New Roman" w:cs="Times New Roman" w:eastAsia="Times New Roman"/>
          <w:b w:val="0"/>
          <w:i w:val="0"/>
          <w:sz w:val="28"/>
        </w:rPr>
        <w:t>Результаты автоматического расчёта показателей качества разработанной системы и их сопоставление с целевыми значениями представлены в таблице 2.</w:t>
      </w:r>
    </w:p>
    <w:p>
      <w:pPr>
        <w:spacing w:lineRule="auto" w:line="360" w:before="60" w:after="60"/>
        <w:ind w:firstLine="850"/>
        <w:jc w:val="both"/>
      </w:pPr>
      <w:r>
        <w:rPr>
          <w:rFonts w:ascii="Times New Roman" w:hAnsi="Times New Roman" w:cs="Times New Roman" w:eastAsia="Times New Roman"/>
          <w:b w:val="0"/>
          <w:i w:val="0"/>
          <w:sz w:val="28"/>
        </w:rPr>
        <w:t>Таблица 2. Численные значения показателей качества разработанной системы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type="dxa"/>
        <w:gridCol w:w="2948" w:type="dxa"/>
        <w:gridCol w:w="1587" w:type="dxa"/>
        <w:gridCol w:w="1701" w:type="dxa"/>
      </w:tblGrid>
      <w:tr>
        <w:trPr>
          <w:cantSplit/>
          <w:tblHeader/>
        </w:trPr>
        <w:tc>
          <w:tcPr>
            <w:tcW w:type="dxa" w:w="3118"/>
          </w:tcPr>
          <w:p>
            <w:pPr>
              <w:spacing w:lineRule="auto" w:line="240" w:before="0" w:after="0"/>
              <w:jc w:val="center"/>
            </w:pPr>
            <w:r/>
            <w:r>
              <w:rPr>
                <w:rFonts w:ascii="Times New Roman" w:hAnsi="Times New Roman" w:cs="Times New Roman" w:eastAsia="Times New Roman"/>
                <w:b/>
                <w:i w:val="0"/>
                <w:sz w:val="28"/>
              </w:rPr>
              <w:t>Показатель</w:t>
            </w:r>
          </w:p>
        </w:tc>
        <w:tc>
          <w:tcPr>
            <w:tcW w:type="dxa" w:w="2948"/>
          </w:tcPr>
          <w:p>
            <w:pPr>
              <w:spacing w:lineRule="auto" w:line="240" w:before="0" w:after="0"/>
              <w:jc w:val="center"/>
            </w:pPr>
            <w:r/>
            <w:r>
              <w:rPr>
                <w:rFonts w:ascii="Times New Roman" w:hAnsi="Times New Roman" w:cs="Times New Roman" w:eastAsia="Times New Roman"/>
                <w:b/>
                <w:i w:val="0"/>
                <w:sz w:val="28"/>
              </w:rPr>
              <w:t>Формула</w:t>
            </w:r>
          </w:p>
        </w:tc>
        <w:tc>
          <w:tcPr>
            <w:tcW w:type="dxa" w:w="1587"/>
          </w:tcPr>
          <w:p>
            <w:pPr>
              <w:spacing w:lineRule="auto" w:line="240" w:before="0" w:after="0"/>
              <w:jc w:val="center"/>
            </w:pPr>
            <w:r/>
            <w:r>
              <w:rPr>
                <w:rFonts w:ascii="Times New Roman" w:hAnsi="Times New Roman" w:cs="Times New Roman" w:eastAsia="Times New Roman"/>
                <w:b/>
                <w:i w:val="0"/>
                <w:sz w:val="28"/>
              </w:rPr>
              <w:t>Значение</w:t>
            </w:r>
          </w:p>
        </w:tc>
        <w:tc>
          <w:tcPr>
            <w:tcW w:type="dxa" w:w="1701"/>
          </w:tcPr>
          <w:p>
            <w:pPr>
              <w:spacing w:lineRule="auto" w:line="240" w:before="0" w:after="0"/>
              <w:jc w:val="center"/>
            </w:pPr>
            <w:r/>
            <w:r>
              <w:rPr>
                <w:rFonts w:ascii="Times New Roman" w:hAnsi="Times New Roman" w:cs="Times New Roman" w:eastAsia="Times New Roman"/>
                <w:b/>
                <w:i w:val="0"/>
                <w:sz w:val="28"/>
              </w:rPr>
              <w:t>Цель</w:t>
            </w:r>
          </w:p>
        </w:tc>
      </w:tr>
      <w:tr>
        <w:trPr>
          <w:cantSplit/>
        </w:trPr>
        <w:tc>
          <w:tcPr>
            <w:tcW w:type="dxa" w:w="3118"/>
          </w:tcPr>
          <w:p>
            <w:pPr>
              <w:spacing w:lineRule="auto" w:line="240" w:before="0" w:after="0"/>
              <w:jc w:val="center"/>
            </w:pPr>
            <w:r/>
            <w:r>
              <w:rPr>
                <w:rFonts w:ascii="Times New Roman" w:hAnsi="Times New Roman" w:cs="Times New Roman" w:eastAsia="Times New Roman"/>
                <w:b w:val="0"/>
                <w:i w:val="0"/>
                <w:sz w:val="28"/>
              </w:rPr>
              <w:t>R — переиспользование</w:t>
            </w:r>
          </w:p>
        </w:tc>
        <w:tc>
          <w:tcPr>
            <w:tcW w:type="dxa" w:w="2948"/>
          </w:tcPr>
          <w:p>
            <w:pPr>
              <w:spacing w:lineRule="auto" w:line="240" w:before="0" w:after="0"/>
              <w:jc w:val="left"/>
            </w:pPr>
            <w:r/>
            <w:r>
              <w:rPr>
                <w:rFonts w:ascii="Times New Roman" w:hAnsi="Times New Roman" w:cs="Times New Roman" w:eastAsia="Times New Roman"/>
                <w:b w:val="0"/>
                <w:i w:val="0"/>
                <w:sz w:val="28"/>
              </w:rPr>
              <w:t>(801·2 + 666) / 4665</w:t>
            </w:r>
          </w:p>
        </w:tc>
        <w:tc>
          <w:tcPr>
            <w:tcW w:type="dxa" w:w="1587"/>
          </w:tcPr>
          <w:p>
            <w:pPr>
              <w:spacing w:lineRule="auto" w:line="240" w:before="0" w:after="0"/>
              <w:jc w:val="left"/>
            </w:pPr>
            <w:r/>
            <w:r>
              <w:rPr>
                <w:rFonts w:ascii="Times New Roman" w:hAnsi="Times New Roman" w:cs="Times New Roman" w:eastAsia="Times New Roman"/>
                <w:b w:val="0"/>
                <w:i w:val="0"/>
                <w:sz w:val="28"/>
              </w:rPr>
              <w:t>0,49</w:t>
            </w:r>
          </w:p>
        </w:tc>
        <w:tc>
          <w:tcPr>
            <w:tcW w:type="dxa" w:w="1701"/>
          </w:tcPr>
          <w:p>
            <w:pPr>
              <w:spacing w:lineRule="auto" w:line="240" w:before="0" w:after="0"/>
              <w:jc w:val="left"/>
            </w:pPr>
            <w:r/>
            <w:r>
              <w:rPr>
                <w:rFonts w:ascii="Times New Roman" w:hAnsi="Times New Roman" w:cs="Times New Roman" w:eastAsia="Times New Roman"/>
                <w:b w:val="0"/>
                <w:i w:val="0"/>
                <w:sz w:val="28"/>
              </w:rPr>
              <w:t>≥ 0,50</w:t>
            </w:r>
          </w:p>
        </w:tc>
      </w:tr>
      <w:tr>
        <w:trPr>
          <w:cantSplit/>
        </w:trPr>
        <w:tc>
          <w:tcPr>
            <w:tcW w:type="dxa" w:w="3118"/>
          </w:tcPr>
          <w:p>
            <w:pPr>
              <w:spacing w:lineRule="auto" w:line="240" w:before="0" w:after="0"/>
              <w:jc w:val="center"/>
            </w:pPr>
            <w:r/>
            <w:r>
              <w:rPr>
                <w:rFonts w:ascii="Times New Roman" w:hAnsi="Times New Roman" w:cs="Times New Roman" w:eastAsia="Times New Roman"/>
                <w:b w:val="0"/>
                <w:i w:val="0"/>
                <w:sz w:val="28"/>
              </w:rPr>
              <w:t>M — модульность</w:t>
            </w:r>
          </w:p>
        </w:tc>
        <w:tc>
          <w:tcPr>
            <w:tcW w:type="dxa" w:w="2948"/>
          </w:tcPr>
          <w:p>
            <w:pPr>
              <w:spacing w:lineRule="auto" w:line="240" w:before="0" w:after="0"/>
              <w:jc w:val="left"/>
            </w:pPr>
            <w:r/>
            <w:r>
              <w:rPr>
                <w:rFonts w:ascii="Times New Roman" w:hAnsi="Times New Roman" w:cs="Times New Roman" w:eastAsia="Times New Roman"/>
                <w:b w:val="0"/>
                <w:i w:val="0"/>
                <w:sz w:val="28"/>
              </w:rPr>
              <w:t>13 / 25</w:t>
            </w:r>
          </w:p>
        </w:tc>
        <w:tc>
          <w:tcPr>
            <w:tcW w:type="dxa" w:w="1587"/>
          </w:tcPr>
          <w:p>
            <w:pPr>
              <w:spacing w:lineRule="auto" w:line="240" w:before="0" w:after="0"/>
              <w:jc w:val="left"/>
            </w:pPr>
            <w:r/>
            <w:r>
              <w:rPr>
                <w:rFonts w:ascii="Times New Roman" w:hAnsi="Times New Roman" w:cs="Times New Roman" w:eastAsia="Times New Roman"/>
                <w:b w:val="0"/>
                <w:i w:val="0"/>
                <w:sz w:val="28"/>
              </w:rPr>
              <w:t>0,52</w:t>
            </w:r>
          </w:p>
        </w:tc>
        <w:tc>
          <w:tcPr>
            <w:tcW w:type="dxa" w:w="1701"/>
          </w:tcPr>
          <w:p>
            <w:pPr>
              <w:spacing w:lineRule="auto" w:line="240" w:before="0" w:after="0"/>
              <w:jc w:val="left"/>
            </w:pPr>
            <w:r/>
            <w:r>
              <w:rPr>
                <w:rFonts w:ascii="Times New Roman" w:hAnsi="Times New Roman" w:cs="Times New Roman" w:eastAsia="Times New Roman"/>
                <w:b w:val="0"/>
                <w:i w:val="0"/>
                <w:sz w:val="28"/>
              </w:rPr>
              <w:t>≥ 0,60</w:t>
            </w:r>
          </w:p>
        </w:tc>
      </w:tr>
      <w:tr>
        <w:trPr>
          <w:cantSplit/>
        </w:trPr>
        <w:tc>
          <w:tcPr>
            <w:tcW w:type="dxa" w:w="3118"/>
          </w:tcPr>
          <w:p>
            <w:pPr>
              <w:spacing w:lineRule="auto" w:line="240" w:before="0" w:after="0"/>
              <w:jc w:val="center"/>
            </w:pPr>
            <w:r/>
            <w:r>
              <w:rPr>
                <w:rFonts w:ascii="Times New Roman" w:hAnsi="Times New Roman" w:cs="Times New Roman" w:eastAsia="Times New Roman"/>
                <w:b w:val="0"/>
                <w:i w:val="0"/>
                <w:sz w:val="28"/>
              </w:rPr>
              <w:t>S — сокращение кода</w:t>
            </w:r>
          </w:p>
        </w:tc>
        <w:tc>
          <w:tcPr>
            <w:tcW w:type="dxa" w:w="2948"/>
          </w:tcPr>
          <w:p>
            <w:pPr>
              <w:spacing w:lineRule="auto" w:line="240" w:before="0" w:after="0"/>
              <w:jc w:val="left"/>
            </w:pPr>
            <w:r/>
            <w:r>
              <w:rPr>
                <w:rFonts w:ascii="Times New Roman" w:hAnsi="Times New Roman" w:cs="Times New Roman" w:eastAsia="Times New Roman"/>
                <w:b w:val="0"/>
                <w:i w:val="0"/>
                <w:sz w:val="28"/>
              </w:rPr>
              <w:t>1 − 576 / 1500</w:t>
            </w:r>
          </w:p>
        </w:tc>
        <w:tc>
          <w:tcPr>
            <w:tcW w:type="dxa" w:w="1587"/>
          </w:tcPr>
          <w:p>
            <w:pPr>
              <w:spacing w:lineRule="auto" w:line="240" w:before="0" w:after="0"/>
              <w:jc w:val="left"/>
            </w:pPr>
            <w:r/>
            <w:r>
              <w:rPr>
                <w:rFonts w:ascii="Times New Roman" w:hAnsi="Times New Roman" w:cs="Times New Roman" w:eastAsia="Times New Roman"/>
                <w:b w:val="0"/>
                <w:i w:val="0"/>
                <w:sz w:val="28"/>
              </w:rPr>
              <w:t>0,62</w:t>
            </w:r>
          </w:p>
        </w:tc>
        <w:tc>
          <w:tcPr>
            <w:tcW w:type="dxa" w:w="1701"/>
          </w:tcPr>
          <w:p>
            <w:pPr>
              <w:spacing w:lineRule="auto" w:line="240" w:before="0" w:after="0"/>
              <w:jc w:val="left"/>
            </w:pPr>
            <w:r/>
            <w:r>
              <w:rPr>
                <w:rFonts w:ascii="Times New Roman" w:hAnsi="Times New Roman" w:cs="Times New Roman" w:eastAsia="Times New Roman"/>
                <w:b w:val="0"/>
                <w:i w:val="0"/>
                <w:sz w:val="28"/>
              </w:rPr>
              <w:t>≥ 0,40</w:t>
            </w:r>
          </w:p>
        </w:tc>
      </w:tr>
      <w:tr>
        <w:trPr>
          <w:cantSplit/>
        </w:trPr>
        <w:tc>
          <w:tcPr>
            <w:tcW w:type="dxa" w:w="3118"/>
          </w:tcPr>
          <w:p>
            <w:pPr>
              <w:spacing w:lineRule="auto" w:line="240" w:before="0" w:after="0"/>
              <w:jc w:val="center"/>
            </w:pPr>
            <w:r/>
            <w:r>
              <w:rPr>
                <w:rFonts w:ascii="Times New Roman" w:hAnsi="Times New Roman" w:cs="Times New Roman" w:eastAsia="Times New Roman"/>
                <w:b w:val="0"/>
                <w:i w:val="0"/>
                <w:sz w:val="28"/>
              </w:rPr>
              <w:t>C — избыточность</w:t>
            </w:r>
          </w:p>
        </w:tc>
        <w:tc>
          <w:tcPr>
            <w:tcW w:type="dxa" w:w="2948"/>
          </w:tcPr>
          <w:p>
            <w:pPr>
              <w:spacing w:lineRule="auto" w:line="240" w:before="0" w:after="0"/>
              <w:jc w:val="left"/>
            </w:pPr>
            <w:r/>
            <w:r>
              <w:rPr>
                <w:rFonts w:ascii="Times New Roman" w:hAnsi="Times New Roman" w:cs="Times New Roman" w:eastAsia="Times New Roman"/>
                <w:b w:val="0"/>
                <w:i w:val="0"/>
                <w:sz w:val="28"/>
              </w:rPr>
              <w:t>140 / 1875</w:t>
            </w:r>
          </w:p>
        </w:tc>
        <w:tc>
          <w:tcPr>
            <w:tcW w:type="dxa" w:w="1587"/>
          </w:tcPr>
          <w:p>
            <w:pPr>
              <w:spacing w:lineRule="auto" w:line="240" w:before="0" w:after="0"/>
              <w:jc w:val="left"/>
            </w:pPr>
            <w:r/>
            <w:r>
              <w:rPr>
                <w:rFonts w:ascii="Times New Roman" w:hAnsi="Times New Roman" w:cs="Times New Roman" w:eastAsia="Times New Roman"/>
                <w:b w:val="0"/>
                <w:i w:val="0"/>
                <w:sz w:val="28"/>
              </w:rPr>
              <w:t>0,07</w:t>
            </w:r>
          </w:p>
        </w:tc>
        <w:tc>
          <w:tcPr>
            <w:tcW w:type="dxa" w:w="1701"/>
          </w:tcPr>
          <w:p>
            <w:pPr>
              <w:spacing w:lineRule="auto" w:line="240" w:before="0" w:after="0"/>
              <w:jc w:val="left"/>
            </w:pPr>
            <w:r/>
            <w:r>
              <w:rPr>
                <w:rFonts w:ascii="Times New Roman" w:hAnsi="Times New Roman" w:cs="Times New Roman" w:eastAsia="Times New Roman"/>
                <w:b w:val="0"/>
                <w:i w:val="0"/>
                <w:sz w:val="28"/>
              </w:rPr>
              <w:t>≤ 0,10</w:t>
            </w:r>
          </w:p>
        </w:tc>
      </w:tr>
      <w:tr>
        <w:trPr>
          <w:cantSplit/>
        </w:trPr>
        <w:tc>
          <w:tcPr>
            <w:tcW w:type="dxa" w:w="3118"/>
          </w:tcPr>
          <w:p>
            <w:pPr>
              <w:spacing w:lineRule="auto" w:line="240" w:before="0" w:after="0"/>
              <w:jc w:val="center"/>
            </w:pPr>
            <w:r/>
            <w:r>
              <w:rPr>
                <w:rFonts w:ascii="Times New Roman" w:hAnsi="Times New Roman" w:cs="Times New Roman" w:eastAsia="Times New Roman"/>
                <w:b w:val="0"/>
                <w:i w:val="0"/>
                <w:sz w:val="28"/>
              </w:rPr>
              <w:t>Q_CM — индекс качества</w:t>
            </w:r>
          </w:p>
        </w:tc>
        <w:tc>
          <w:tcPr>
            <w:tcW w:type="dxa" w:w="2948"/>
          </w:tcPr>
          <w:p>
            <w:pPr>
              <w:spacing w:lineRule="auto" w:line="240" w:before="0" w:after="0"/>
              <w:jc w:val="left"/>
            </w:pPr>
            <w:r/>
            <w:r>
              <w:rPr>
                <w:rFonts w:ascii="Times New Roman" w:hAnsi="Times New Roman" w:cs="Times New Roman" w:eastAsia="Times New Roman"/>
                <w:b w:val="0"/>
                <w:i w:val="0"/>
                <w:sz w:val="28"/>
              </w:rPr>
              <w:t>линейная свёртка</w:t>
            </w:r>
          </w:p>
        </w:tc>
        <w:tc>
          <w:tcPr>
            <w:tcW w:type="dxa" w:w="1587"/>
          </w:tcPr>
          <w:p>
            <w:pPr>
              <w:spacing w:lineRule="auto" w:line="240" w:before="0" w:after="0"/>
              <w:jc w:val="left"/>
            </w:pPr>
            <w:r/>
            <w:r>
              <w:rPr>
                <w:rFonts w:ascii="Times New Roman" w:hAnsi="Times New Roman" w:cs="Times New Roman" w:eastAsia="Times New Roman"/>
                <w:b w:val="0"/>
                <w:i w:val="0"/>
                <w:sz w:val="28"/>
              </w:rPr>
              <w:t>0,44</w:t>
            </w:r>
          </w:p>
        </w:tc>
        <w:tc>
          <w:tcPr>
            <w:tcW w:type="dxa" w:w="1701"/>
          </w:tcPr>
          <w:p>
            <w:pPr>
              <w:spacing w:lineRule="auto" w:line="240" w:before="0" w:after="0"/>
              <w:jc w:val="left"/>
            </w:pPr>
            <w:r/>
            <w:r>
              <w:rPr>
                <w:rFonts w:ascii="Times New Roman" w:hAnsi="Times New Roman" w:cs="Times New Roman" w:eastAsia="Times New Roman"/>
                <w:b w:val="0"/>
                <w:i w:val="0"/>
                <w:sz w:val="28"/>
              </w:rPr>
              <w:t>≥ 0,41</w:t>
            </w:r>
          </w:p>
        </w:tc>
      </w:tr>
      <w:tr>
        <w:trPr>
          <w:cantSplit/>
        </w:trPr>
        <w:tc>
          <w:tcPr>
            <w:tcW w:type="dxa" w:w="3118"/>
          </w:tcPr>
          <w:p>
            <w:pPr>
              <w:spacing w:lineRule="auto" w:line="240" w:before="0" w:after="0"/>
              <w:jc w:val="center"/>
            </w:pPr>
            <w:r/>
            <w:r>
              <w:rPr>
                <w:rFonts w:ascii="Times New Roman" w:hAnsi="Times New Roman" w:cs="Times New Roman" w:eastAsia="Times New Roman"/>
                <w:b w:val="0"/>
                <w:i w:val="0"/>
                <w:sz w:val="28"/>
              </w:rPr>
              <w:t>T_deploy — время развёртывания</w:t>
            </w:r>
          </w:p>
        </w:tc>
        <w:tc>
          <w:tcPr>
            <w:tcW w:type="dxa" w:w="2948"/>
          </w:tcPr>
          <w:p>
            <w:pPr>
              <w:spacing w:lineRule="auto" w:line="240" w:before="0" w:after="0"/>
              <w:jc w:val="left"/>
            </w:pPr>
            <w:r/>
            <w:r>
              <w:rPr>
                <w:rFonts w:ascii="Times New Roman" w:hAnsi="Times New Roman" w:cs="Times New Roman" w:eastAsia="Times New Roman"/>
                <w:b w:val="0"/>
                <w:i w:val="0"/>
                <w:sz w:val="28"/>
              </w:rPr>
              <w:t>—</w:t>
            </w:r>
          </w:p>
        </w:tc>
        <w:tc>
          <w:tcPr>
            <w:tcW w:type="dxa" w:w="1587"/>
          </w:tcPr>
          <w:p>
            <w:pPr>
              <w:spacing w:lineRule="auto" w:line="240" w:before="0" w:after="0"/>
              <w:jc w:val="left"/>
            </w:pPr>
            <w:r/>
            <w:r>
              <w:rPr>
                <w:rFonts w:ascii="Times New Roman" w:hAnsi="Times New Roman" w:cs="Times New Roman" w:eastAsia="Times New Roman"/>
                <w:b w:val="0"/>
                <w:i w:val="0"/>
                <w:sz w:val="28"/>
              </w:rPr>
              <w:t>10–15 мин</w:t>
            </w:r>
          </w:p>
        </w:tc>
        <w:tc>
          <w:tcPr>
            <w:tcW w:type="dxa" w:w="1701"/>
          </w:tcPr>
          <w:p>
            <w:pPr>
              <w:spacing w:lineRule="auto" w:line="240" w:before="0" w:after="0"/>
              <w:jc w:val="left"/>
            </w:pPr>
            <w:r/>
            <w:r>
              <w:rPr>
                <w:rFonts w:ascii="Times New Roman" w:hAnsi="Times New Roman" w:cs="Times New Roman" w:eastAsia="Times New Roman"/>
                <w:b w:val="0"/>
                <w:i w:val="0"/>
                <w:sz w:val="28"/>
              </w:rPr>
              <w:t>≤ 15 мин</w:t>
            </w:r>
          </w:p>
        </w:tc>
      </w:tr>
    </w:tbl>
    <w:p>
      <w:pPr>
        <w:spacing w:lineRule="auto" w:line="360" w:before="60" w:after="60"/>
        <w:jc w:val="both"/>
      </w:pPr>
      <w:r>
        <w:rPr>
          <w:rFonts w:ascii="Times New Roman" w:hAnsi="Times New Roman" w:cs="Times New Roman" w:eastAsia="Times New Roman"/>
          <w:b w:val="0"/>
          <w:i/>
          <w:sz w:val="28"/>
        </w:rPr>
        <w:t>Источник: расчёт автора по исходному коду системы vladOS-v2</w:t>
      </w:r>
    </w:p>
    <w:p>
      <w:pPr>
        <w:spacing w:lineRule="auto" w:line="360" w:before="60" w:after="60"/>
        <w:ind w:firstLine="850"/>
        <w:jc w:val="both"/>
      </w:pPr>
      <w:r>
        <w:rPr>
          <w:rFonts w:ascii="Times New Roman" w:hAnsi="Times New Roman" w:cs="Times New Roman" w:eastAsia="Times New Roman"/>
          <w:b w:val="0"/>
          <w:i w:val="0"/>
          <w:sz w:val="28"/>
        </w:rPr>
        <w:t>Полученное значение Q_CM = 0,44 превышает целевое пороговое значение 0,41. Из шести нормативных показателей четыре достигнуты полностью (S, C, Q_CM, T_deploy); коэффициент переиспользования R достигнут на 98 %, а модульность M — на 87 %. Недостижение полных целевых значений по R и M объясняется малым числом управляемых хостов (3): при увеличении количества хостов ранее реализованные модули автоматически используются повторно, что приводит к улучшению обоих показателей.</w:t>
      </w:r>
    </w:p>
    <w:p>
      <w:pPr>
        <w:spacing w:lineRule="auto" w:line="360" w:before="60" w:after="60"/>
        <w:ind w:firstLine="850"/>
        <w:jc w:val="both"/>
      </w:pPr>
      <w:r>
        <w:rPr>
          <w:rFonts w:ascii="Times New Roman" w:hAnsi="Times New Roman" w:cs="Times New Roman" w:eastAsia="Times New Roman"/>
          <w:b w:val="0"/>
          <w:i w:val="0"/>
          <w:sz w:val="28"/>
        </w:rPr>
        <w:t>Для оценки эффекта от расширения инфраструктуры выполнен сценарный прогноз показателей при увеличении числа хостов до 10. Прогноз построен исходя из предположения, что новые хосты соответствуют типовым ролям, для которых в системе уже определены профили (developer, server-base, server-k3s-agent, server-ci, server-storage, server-virt). Результаты прогнозного расчёта приведены в таблице 3.</w:t>
      </w:r>
    </w:p>
    <w:p>
      <w:pPr>
        <w:spacing w:lineRule="auto" w:line="360" w:before="60" w:after="60"/>
        <w:ind w:firstLine="850"/>
        <w:jc w:val="both"/>
      </w:pPr>
      <w:r>
        <w:rPr>
          <w:rFonts w:ascii="Times New Roman" w:hAnsi="Times New Roman" w:cs="Times New Roman" w:eastAsia="Times New Roman"/>
          <w:b w:val="0"/>
          <w:i w:val="0"/>
          <w:sz w:val="28"/>
        </w:rPr>
        <w:t>Таблица 3. Прогноз показателей качества при масштабировании инфраструктуры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type="dxa"/>
        <w:gridCol w:w="1984" w:type="dxa"/>
        <w:gridCol w:w="3118" w:type="dxa"/>
        <w:gridCol w:w="2551" w:type="dxa"/>
      </w:tblGrid>
      <w:tr>
        <w:trPr>
          <w:cantSplit/>
          <w:tblHeader/>
        </w:trPr>
        <w:tc>
          <w:tcPr>
            <w:tcW w:type="dxa" w:w="1701"/>
          </w:tcPr>
          <w:p>
            <w:pPr>
              <w:spacing w:lineRule="auto" w:line="240" w:before="0" w:after="0"/>
              <w:jc w:val="center"/>
            </w:pPr>
            <w:r/>
            <w:r>
              <w:rPr>
                <w:rFonts w:ascii="Times New Roman" w:hAnsi="Times New Roman" w:cs="Times New Roman" w:eastAsia="Times New Roman"/>
                <w:b/>
                <w:i w:val="0"/>
                <w:sz w:val="28"/>
              </w:rPr>
              <w:t>Показатель</w:t>
            </w:r>
          </w:p>
        </w:tc>
        <w:tc>
          <w:tcPr>
            <w:tcW w:type="dxa" w:w="1984"/>
          </w:tcPr>
          <w:p>
            <w:pPr>
              <w:spacing w:lineRule="auto" w:line="240" w:before="0" w:after="0"/>
              <w:jc w:val="center"/>
            </w:pPr>
            <w:r/>
            <w:r>
              <w:rPr>
                <w:rFonts w:ascii="Times New Roman" w:hAnsi="Times New Roman" w:cs="Times New Roman" w:eastAsia="Times New Roman"/>
                <w:b/>
                <w:i w:val="0"/>
                <w:sz w:val="28"/>
              </w:rPr>
              <w:t>3 хоста</w:t>
            </w:r>
          </w:p>
        </w:tc>
        <w:tc>
          <w:tcPr>
            <w:tcW w:type="dxa" w:w="3118"/>
          </w:tcPr>
          <w:p>
            <w:pPr>
              <w:spacing w:lineRule="auto" w:line="240" w:before="0" w:after="0"/>
              <w:jc w:val="center"/>
            </w:pPr>
            <w:r/>
            <w:r>
              <w:rPr>
                <w:rFonts w:ascii="Times New Roman" w:hAnsi="Times New Roman" w:cs="Times New Roman" w:eastAsia="Times New Roman"/>
                <w:b/>
                <w:i w:val="0"/>
                <w:sz w:val="28"/>
              </w:rPr>
              <w:t>10 хостов (прогноз)</w:t>
            </w:r>
          </w:p>
        </w:tc>
        <w:tc>
          <w:tcPr>
            <w:tcW w:type="dxa" w:w="2551"/>
          </w:tcPr>
          <w:p>
            <w:pPr>
              <w:spacing w:lineRule="auto" w:line="240" w:before="0" w:after="0"/>
              <w:jc w:val="center"/>
            </w:pPr>
            <w:r/>
            <w:r>
              <w:rPr>
                <w:rFonts w:ascii="Times New Roman" w:hAnsi="Times New Roman" w:cs="Times New Roman" w:eastAsia="Times New Roman"/>
                <w:b/>
                <w:i w:val="0"/>
                <w:sz w:val="28"/>
              </w:rPr>
              <w:t>Изменение</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R</w:t>
            </w:r>
          </w:p>
        </w:tc>
        <w:tc>
          <w:tcPr>
            <w:tcW w:type="dxa" w:w="1984"/>
          </w:tcPr>
          <w:p>
            <w:pPr>
              <w:spacing w:lineRule="auto" w:line="240" w:before="0" w:after="0"/>
              <w:jc w:val="left"/>
            </w:pPr>
            <w:r/>
            <w:r>
              <w:rPr>
                <w:rFonts w:ascii="Times New Roman" w:hAnsi="Times New Roman" w:cs="Times New Roman" w:eastAsia="Times New Roman"/>
                <w:b w:val="0"/>
                <w:i w:val="0"/>
                <w:sz w:val="28"/>
              </w:rPr>
              <w:t>0,49</w:t>
            </w:r>
          </w:p>
        </w:tc>
        <w:tc>
          <w:tcPr>
            <w:tcW w:type="dxa" w:w="3118"/>
          </w:tcPr>
          <w:p>
            <w:pPr>
              <w:spacing w:lineRule="auto" w:line="240" w:before="0" w:after="0"/>
              <w:jc w:val="left"/>
            </w:pPr>
            <w:r/>
            <w:r>
              <w:rPr>
                <w:rFonts w:ascii="Times New Roman" w:hAnsi="Times New Roman" w:cs="Times New Roman" w:eastAsia="Times New Roman"/>
                <w:b w:val="0"/>
                <w:i w:val="0"/>
                <w:sz w:val="28"/>
              </w:rPr>
              <w:t>0,65</w:t>
            </w:r>
          </w:p>
        </w:tc>
        <w:tc>
          <w:tcPr>
            <w:tcW w:type="dxa" w:w="2551"/>
          </w:tcPr>
          <w:p>
            <w:pPr>
              <w:spacing w:lineRule="auto" w:line="240" w:before="0" w:after="0"/>
              <w:jc w:val="left"/>
            </w:pPr>
            <w:r/>
            <w:r>
              <w:rPr>
                <w:rFonts w:ascii="Times New Roman" w:hAnsi="Times New Roman" w:cs="Times New Roman" w:eastAsia="Times New Roman"/>
                <w:b w:val="0"/>
                <w:i w:val="0"/>
                <w:sz w:val="28"/>
              </w:rPr>
              <w:t>+33 %</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M</w:t>
            </w:r>
          </w:p>
        </w:tc>
        <w:tc>
          <w:tcPr>
            <w:tcW w:type="dxa" w:w="1984"/>
          </w:tcPr>
          <w:p>
            <w:pPr>
              <w:spacing w:lineRule="auto" w:line="240" w:before="0" w:after="0"/>
              <w:jc w:val="left"/>
            </w:pPr>
            <w:r/>
            <w:r>
              <w:rPr>
                <w:rFonts w:ascii="Times New Roman" w:hAnsi="Times New Roman" w:cs="Times New Roman" w:eastAsia="Times New Roman"/>
                <w:b w:val="0"/>
                <w:i w:val="0"/>
                <w:sz w:val="28"/>
              </w:rPr>
              <w:t>0,52</w:t>
            </w:r>
          </w:p>
        </w:tc>
        <w:tc>
          <w:tcPr>
            <w:tcW w:type="dxa" w:w="3118"/>
          </w:tcPr>
          <w:p>
            <w:pPr>
              <w:spacing w:lineRule="auto" w:line="240" w:before="0" w:after="0"/>
              <w:jc w:val="left"/>
            </w:pPr>
            <w:r/>
            <w:r>
              <w:rPr>
                <w:rFonts w:ascii="Times New Roman" w:hAnsi="Times New Roman" w:cs="Times New Roman" w:eastAsia="Times New Roman"/>
                <w:b w:val="0"/>
                <w:i w:val="0"/>
                <w:sz w:val="28"/>
              </w:rPr>
              <w:t>0,88</w:t>
            </w:r>
          </w:p>
        </w:tc>
        <w:tc>
          <w:tcPr>
            <w:tcW w:type="dxa" w:w="2551"/>
          </w:tcPr>
          <w:p>
            <w:pPr>
              <w:spacing w:lineRule="auto" w:line="240" w:before="0" w:after="0"/>
              <w:jc w:val="left"/>
            </w:pPr>
            <w:r/>
            <w:r>
              <w:rPr>
                <w:rFonts w:ascii="Times New Roman" w:hAnsi="Times New Roman" w:cs="Times New Roman" w:eastAsia="Times New Roman"/>
                <w:b w:val="0"/>
                <w:i w:val="0"/>
                <w:sz w:val="28"/>
              </w:rPr>
              <w:t>+69 %</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S</w:t>
            </w:r>
          </w:p>
        </w:tc>
        <w:tc>
          <w:tcPr>
            <w:tcW w:type="dxa" w:w="1984"/>
          </w:tcPr>
          <w:p>
            <w:pPr>
              <w:spacing w:lineRule="auto" w:line="240" w:before="0" w:after="0"/>
              <w:jc w:val="left"/>
            </w:pPr>
            <w:r/>
            <w:r>
              <w:rPr>
                <w:rFonts w:ascii="Times New Roman" w:hAnsi="Times New Roman" w:cs="Times New Roman" w:eastAsia="Times New Roman"/>
                <w:b w:val="0"/>
                <w:i w:val="0"/>
                <w:sz w:val="28"/>
              </w:rPr>
              <w:t>0,62</w:t>
            </w:r>
          </w:p>
        </w:tc>
        <w:tc>
          <w:tcPr>
            <w:tcW w:type="dxa" w:w="3118"/>
          </w:tcPr>
          <w:p>
            <w:pPr>
              <w:spacing w:lineRule="auto" w:line="240" w:before="0" w:after="0"/>
              <w:jc w:val="left"/>
            </w:pPr>
            <w:r/>
            <w:r>
              <w:rPr>
                <w:rFonts w:ascii="Times New Roman" w:hAnsi="Times New Roman" w:cs="Times New Roman" w:eastAsia="Times New Roman"/>
                <w:b w:val="0"/>
                <w:i w:val="0"/>
                <w:sz w:val="28"/>
              </w:rPr>
              <w:t>0,60</w:t>
            </w:r>
          </w:p>
        </w:tc>
        <w:tc>
          <w:tcPr>
            <w:tcW w:type="dxa" w:w="2551"/>
          </w:tcPr>
          <w:p>
            <w:pPr>
              <w:spacing w:lineRule="auto" w:line="240" w:before="0" w:after="0"/>
              <w:jc w:val="left"/>
            </w:pPr>
            <w:r/>
            <w:r>
              <w:rPr>
                <w:rFonts w:ascii="Times New Roman" w:hAnsi="Times New Roman" w:cs="Times New Roman" w:eastAsia="Times New Roman"/>
                <w:b w:val="0"/>
                <w:i w:val="0"/>
                <w:sz w:val="28"/>
              </w:rPr>
              <w:t>−3 %</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C</w:t>
            </w:r>
          </w:p>
        </w:tc>
        <w:tc>
          <w:tcPr>
            <w:tcW w:type="dxa" w:w="1984"/>
          </w:tcPr>
          <w:p>
            <w:pPr>
              <w:spacing w:lineRule="auto" w:line="240" w:before="0" w:after="0"/>
              <w:jc w:val="left"/>
            </w:pPr>
            <w:r/>
            <w:r>
              <w:rPr>
                <w:rFonts w:ascii="Times New Roman" w:hAnsi="Times New Roman" w:cs="Times New Roman" w:eastAsia="Times New Roman"/>
                <w:b w:val="0"/>
                <w:i w:val="0"/>
                <w:sz w:val="28"/>
              </w:rPr>
              <w:t>0,07</w:t>
            </w:r>
          </w:p>
        </w:tc>
        <w:tc>
          <w:tcPr>
            <w:tcW w:type="dxa" w:w="3118"/>
          </w:tcPr>
          <w:p>
            <w:pPr>
              <w:spacing w:lineRule="auto" w:line="240" w:before="0" w:after="0"/>
              <w:jc w:val="left"/>
            </w:pPr>
            <w:r/>
            <w:r>
              <w:rPr>
                <w:rFonts w:ascii="Times New Roman" w:hAnsi="Times New Roman" w:cs="Times New Roman" w:eastAsia="Times New Roman"/>
                <w:b w:val="0"/>
                <w:i w:val="0"/>
                <w:sz w:val="28"/>
              </w:rPr>
              <w:t>0,04</w:t>
            </w:r>
          </w:p>
        </w:tc>
        <w:tc>
          <w:tcPr>
            <w:tcW w:type="dxa" w:w="2551"/>
          </w:tcPr>
          <w:p>
            <w:pPr>
              <w:spacing w:lineRule="auto" w:line="240" w:before="0" w:after="0"/>
              <w:jc w:val="left"/>
            </w:pPr>
            <w:r/>
            <w:r>
              <w:rPr>
                <w:rFonts w:ascii="Times New Roman" w:hAnsi="Times New Roman" w:cs="Times New Roman" w:eastAsia="Times New Roman"/>
                <w:b w:val="0"/>
                <w:i w:val="0"/>
                <w:sz w:val="28"/>
              </w:rPr>
              <w:t>−43 %</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Q_CM</w:t>
            </w:r>
          </w:p>
        </w:tc>
        <w:tc>
          <w:tcPr>
            <w:tcW w:type="dxa" w:w="1984"/>
          </w:tcPr>
          <w:p>
            <w:pPr>
              <w:spacing w:lineRule="auto" w:line="240" w:before="0" w:after="0"/>
              <w:jc w:val="left"/>
            </w:pPr>
            <w:r/>
            <w:r>
              <w:rPr>
                <w:rFonts w:ascii="Times New Roman" w:hAnsi="Times New Roman" w:cs="Times New Roman" w:eastAsia="Times New Roman"/>
                <w:b w:val="0"/>
                <w:i w:val="0"/>
                <w:sz w:val="28"/>
              </w:rPr>
              <w:t>0,44</w:t>
            </w:r>
          </w:p>
        </w:tc>
        <w:tc>
          <w:tcPr>
            <w:tcW w:type="dxa" w:w="3118"/>
          </w:tcPr>
          <w:p>
            <w:pPr>
              <w:spacing w:lineRule="auto" w:line="240" w:before="0" w:after="0"/>
              <w:jc w:val="left"/>
            </w:pPr>
            <w:r/>
            <w:r>
              <w:rPr>
                <w:rFonts w:ascii="Times New Roman" w:hAnsi="Times New Roman" w:cs="Times New Roman" w:eastAsia="Times New Roman"/>
                <w:b w:val="0"/>
                <w:i w:val="0"/>
                <w:sz w:val="28"/>
              </w:rPr>
              <w:t>0,59</w:t>
            </w:r>
          </w:p>
        </w:tc>
        <w:tc>
          <w:tcPr>
            <w:tcW w:type="dxa" w:w="2551"/>
          </w:tcPr>
          <w:p>
            <w:pPr>
              <w:spacing w:lineRule="auto" w:line="240" w:before="0" w:after="0"/>
              <w:jc w:val="left"/>
            </w:pPr>
            <w:r/>
            <w:r>
              <w:rPr>
                <w:rFonts w:ascii="Times New Roman" w:hAnsi="Times New Roman" w:cs="Times New Roman" w:eastAsia="Times New Roman"/>
                <w:b w:val="0"/>
                <w:i w:val="0"/>
                <w:sz w:val="28"/>
              </w:rPr>
              <w:t>+34 %</w:t>
            </w:r>
          </w:p>
        </w:tc>
      </w:tr>
    </w:tbl>
    <w:p>
      <w:pPr>
        <w:spacing w:lineRule="auto" w:line="360" w:before="60" w:after="60"/>
        <w:jc w:val="both"/>
      </w:pPr>
      <w:r>
        <w:rPr>
          <w:rFonts w:ascii="Times New Roman" w:hAnsi="Times New Roman" w:cs="Times New Roman" w:eastAsia="Times New Roman"/>
          <w:b w:val="0"/>
          <w:i/>
          <w:sz w:val="28"/>
        </w:rPr>
        <w:t>Источник: расчёт автора (сценарный прогноз)</w:t>
      </w:r>
    </w:p>
    <w:p>
      <w:pPr>
        <w:spacing w:lineRule="auto" w:line="360" w:before="60" w:after="60"/>
        <w:ind w:firstLine="850"/>
        <w:jc w:val="both"/>
      </w:pPr>
      <w:r>
        <w:rPr>
          <w:rFonts w:ascii="Times New Roman" w:hAnsi="Times New Roman" w:cs="Times New Roman" w:eastAsia="Times New Roman"/>
          <w:b w:val="0"/>
          <w:i w:val="0"/>
          <w:sz w:val="28"/>
        </w:rPr>
        <w:t>Существенный рост R и M при умеренном изменении S свидетельствует о положительном эффекте масштаба: разработанная архитектура становится тем эффективнее, чем больше хостов управляется из единого репозитория.</w:t>
      </w:r>
    </w:p>
    <w:p>
      <w:pPr>
        <w:spacing w:lineRule="auto" w:line="360" w:before="60" w:after="60"/>
        <w:ind w:firstLine="850"/>
        <w:jc w:val="both"/>
      </w:pPr>
      <w:r>
        <w:rPr>
          <w:rFonts w:ascii="Times New Roman" w:hAnsi="Times New Roman" w:cs="Times New Roman" w:eastAsia="Times New Roman"/>
          <w:b w:val="0"/>
          <w:i w:val="0"/>
          <w:sz w:val="28"/>
        </w:rPr>
        <w:t>В рамках функционального тестирования выполнены 10 тестовых случаев, охватывающих сборку конфигураций всех трёх хостов, применение базовых и наследуемых профилей, включение типовых модулей (Docker, K3s), активацию набора common и генерацию визуализации топологии. Все тестовые случаи пройдены успешно, что подтверждает корректность работы механизма композиции и наследования. В рамках тестирования развёртывания проверены пять сценариев: локальное применение конфигурации занимает 45 с, удалённое развёртывание через deploy-rs — от 2 мин 15 с до 3 мин 40 с в зависимости от объёма передаваемых данных. Механизм Magic Rollback корректно срабатывает при искусственно смоделированном сбое активации, возвращая хост в предыдущее поколение через 60 с. Ручной откат через nixos-rebuild --rollback выполняется за 12 с.</w:t>
      </w:r>
    </w:p>
    <w:p>
      <w:pPr>
        <w:spacing w:lineRule="auto" w:line="360" w:before="60" w:after="60"/>
        <w:ind w:firstLine="850"/>
        <w:jc w:val="both"/>
      </w:pPr>
      <w:r>
        <w:rPr>
          <w:rFonts w:ascii="Times New Roman" w:hAnsi="Times New Roman" w:cs="Times New Roman" w:eastAsia="Times New Roman"/>
          <w:b w:val="0"/>
          <w:i w:val="0"/>
          <w:sz w:val="28"/>
        </w:rPr>
        <w:t>Введение системы профилей с наследованием существенно сокращает трудозатраты на интеграцию нового хоста в инфраструктуру. При ручной настройке изолированной NixOS-конфигурации подготовка нового хоста занимает 60–120 минут в зависимости от роли. В разработанной системе аналогичная процедура сводится к созданию директории хоста, генерации hardware-configuration.nix стандартной утилитой nixos-generate-config и написанию 10–15 строк, описывающих применяемый профиль и специфичные параметры. Полное время подготовки составляет 10–15 минут, что отвечает поставленному ограничению T_deploy ≤ 15 минут.</w:t>
      </w:r>
    </w:p>
    <w:p>
      <w:pPr>
        <w:spacing w:lineRule="auto" w:line="360" w:before="60" w:after="60"/>
        <w:ind w:firstLine="850"/>
        <w:jc w:val="both"/>
      </w:pPr>
      <w:r>
        <w:rPr>
          <w:rFonts w:ascii="Times New Roman" w:hAnsi="Times New Roman" w:cs="Times New Roman" w:eastAsia="Times New Roman"/>
          <w:b w:val="0"/>
          <w:i w:val="0"/>
          <w:sz w:val="28"/>
        </w:rPr>
        <w:t>Для оценки разработанной системы относительно существующих решений произведено сравнение по введённой системе показателей с тремя эталонными подходами: Ansible (императивный/конвергентный, наиболее распространённый инструмент управления конфигурацией), Puppet (декларативный конвергентный) и изолированными NixOS-конфигурациями (декларативный конгруэнтный, но без модульной архитектуры). Результаты сравнения приведены в таблице 4.</w:t>
      </w:r>
    </w:p>
    <w:p>
      <w:pPr>
        <w:spacing w:lineRule="auto" w:line="360" w:before="60" w:after="60"/>
        <w:ind w:firstLine="850"/>
        <w:jc w:val="both"/>
      </w:pPr>
      <w:r>
        <w:rPr>
          <w:rFonts w:ascii="Times New Roman" w:hAnsi="Times New Roman" w:cs="Times New Roman" w:eastAsia="Times New Roman"/>
          <w:b w:val="0"/>
          <w:i w:val="0"/>
          <w:sz w:val="28"/>
        </w:rPr>
        <w:t>Таблица 4. Сравнение количественных показателей с аналогами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type="dxa"/>
        <w:gridCol w:w="1134" w:type="dxa"/>
        <w:gridCol w:w="1134" w:type="dxa"/>
        <w:gridCol w:w="1587" w:type="dxa"/>
        <w:gridCol w:w="1814" w:type="dxa"/>
        <w:gridCol w:w="1984" w:type="dxa"/>
      </w:tblGrid>
      <w:tr>
        <w:trPr>
          <w:cantSplit/>
          <w:tblHeader/>
        </w:trPr>
        <w:tc>
          <w:tcPr>
            <w:tcW w:type="dxa" w:w="1701"/>
          </w:tcPr>
          <w:p>
            <w:pPr>
              <w:spacing w:lineRule="auto" w:line="240" w:before="0" w:after="0"/>
              <w:jc w:val="center"/>
            </w:pPr>
            <w:r/>
            <w:r>
              <w:rPr>
                <w:rFonts w:ascii="Times New Roman" w:hAnsi="Times New Roman" w:cs="Times New Roman" w:eastAsia="Times New Roman"/>
                <w:b/>
                <w:i w:val="0"/>
                <w:sz w:val="28"/>
              </w:rPr>
              <w:t>Показатель</w:t>
            </w:r>
          </w:p>
        </w:tc>
        <w:tc>
          <w:tcPr>
            <w:tcW w:type="dxa" w:w="1134"/>
          </w:tcPr>
          <w:p>
            <w:pPr>
              <w:spacing w:lineRule="auto" w:line="240" w:before="0" w:after="0"/>
              <w:jc w:val="center"/>
            </w:pPr>
            <w:r/>
            <w:r>
              <w:rPr>
                <w:rFonts w:ascii="Times New Roman" w:hAnsi="Times New Roman" w:cs="Times New Roman" w:eastAsia="Times New Roman"/>
                <w:b/>
                <w:i w:val="0"/>
                <w:sz w:val="28"/>
              </w:rPr>
              <w:t>Ansible</w:t>
            </w:r>
          </w:p>
        </w:tc>
        <w:tc>
          <w:tcPr>
            <w:tcW w:type="dxa" w:w="1134"/>
          </w:tcPr>
          <w:p>
            <w:pPr>
              <w:spacing w:lineRule="auto" w:line="240" w:before="0" w:after="0"/>
              <w:jc w:val="center"/>
            </w:pPr>
            <w:r/>
            <w:r>
              <w:rPr>
                <w:rFonts w:ascii="Times New Roman" w:hAnsi="Times New Roman" w:cs="Times New Roman" w:eastAsia="Times New Roman"/>
                <w:b/>
                <w:i w:val="0"/>
                <w:sz w:val="28"/>
              </w:rPr>
              <w:t>Puppet</w:t>
            </w:r>
          </w:p>
        </w:tc>
        <w:tc>
          <w:tcPr>
            <w:tcW w:type="dxa" w:w="1587"/>
          </w:tcPr>
          <w:p>
            <w:pPr>
              <w:spacing w:lineRule="auto" w:line="240" w:before="0" w:after="0"/>
              <w:jc w:val="center"/>
            </w:pPr>
            <w:r/>
            <w:r>
              <w:rPr>
                <w:rFonts w:ascii="Times New Roman" w:hAnsi="Times New Roman" w:cs="Times New Roman" w:eastAsia="Times New Roman"/>
                <w:b/>
                <w:i w:val="0"/>
                <w:sz w:val="28"/>
              </w:rPr>
              <w:t>Изол. NixOS</w:t>
            </w:r>
          </w:p>
        </w:tc>
        <w:tc>
          <w:tcPr>
            <w:tcW w:type="dxa" w:w="1814"/>
          </w:tcPr>
          <w:p>
            <w:pPr>
              <w:spacing w:lineRule="auto" w:line="240" w:before="0" w:after="0"/>
              <w:jc w:val="center"/>
            </w:pPr>
            <w:r/>
            <w:r>
              <w:rPr>
                <w:rFonts w:ascii="Times New Roman" w:hAnsi="Times New Roman" w:cs="Times New Roman" w:eastAsia="Times New Roman"/>
                <w:b/>
                <w:i w:val="0"/>
                <w:sz w:val="28"/>
              </w:rPr>
              <w:t>vladOS (3 х.)</w:t>
            </w:r>
          </w:p>
        </w:tc>
        <w:tc>
          <w:tcPr>
            <w:tcW w:type="dxa" w:w="1984"/>
          </w:tcPr>
          <w:p>
            <w:pPr>
              <w:spacing w:lineRule="auto" w:line="240" w:before="0" w:after="0"/>
              <w:jc w:val="center"/>
            </w:pPr>
            <w:r/>
            <w:r>
              <w:rPr>
                <w:rFonts w:ascii="Times New Roman" w:hAnsi="Times New Roman" w:cs="Times New Roman" w:eastAsia="Times New Roman"/>
                <w:b/>
                <w:i w:val="0"/>
                <w:sz w:val="28"/>
              </w:rPr>
              <w:t>vladOS (10 х.)</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R</w:t>
            </w:r>
          </w:p>
        </w:tc>
        <w:tc>
          <w:tcPr>
            <w:tcW w:type="dxa" w:w="1134"/>
          </w:tcPr>
          <w:p>
            <w:pPr>
              <w:spacing w:lineRule="auto" w:line="240" w:before="0" w:after="0"/>
              <w:jc w:val="left"/>
            </w:pPr>
            <w:r/>
            <w:r>
              <w:rPr>
                <w:rFonts w:ascii="Times New Roman" w:hAnsi="Times New Roman" w:cs="Times New Roman" w:eastAsia="Times New Roman"/>
                <w:b w:val="0"/>
                <w:i w:val="0"/>
                <w:sz w:val="28"/>
              </w:rPr>
              <w:t>0,30</w:t>
            </w:r>
          </w:p>
        </w:tc>
        <w:tc>
          <w:tcPr>
            <w:tcW w:type="dxa" w:w="1134"/>
          </w:tcPr>
          <w:p>
            <w:pPr>
              <w:spacing w:lineRule="auto" w:line="240" w:before="0" w:after="0"/>
              <w:jc w:val="left"/>
            </w:pPr>
            <w:r/>
            <w:r>
              <w:rPr>
                <w:rFonts w:ascii="Times New Roman" w:hAnsi="Times New Roman" w:cs="Times New Roman" w:eastAsia="Times New Roman"/>
                <w:b w:val="0"/>
                <w:i w:val="0"/>
                <w:sz w:val="28"/>
              </w:rPr>
              <w:t>0,35</w:t>
            </w:r>
          </w:p>
        </w:tc>
        <w:tc>
          <w:tcPr>
            <w:tcW w:type="dxa" w:w="1587"/>
          </w:tcPr>
          <w:p>
            <w:pPr>
              <w:spacing w:lineRule="auto" w:line="240" w:before="0" w:after="0"/>
              <w:jc w:val="left"/>
            </w:pPr>
            <w:r/>
            <w:r>
              <w:rPr>
                <w:rFonts w:ascii="Times New Roman" w:hAnsi="Times New Roman" w:cs="Times New Roman" w:eastAsia="Times New Roman"/>
                <w:b w:val="0"/>
                <w:i w:val="0"/>
                <w:sz w:val="28"/>
              </w:rPr>
              <w:t>0,00</w:t>
            </w:r>
          </w:p>
        </w:tc>
        <w:tc>
          <w:tcPr>
            <w:tcW w:type="dxa" w:w="1814"/>
          </w:tcPr>
          <w:p>
            <w:pPr>
              <w:spacing w:lineRule="auto" w:line="240" w:before="0" w:after="0"/>
              <w:jc w:val="left"/>
            </w:pPr>
            <w:r/>
            <w:r>
              <w:rPr>
                <w:rFonts w:ascii="Times New Roman" w:hAnsi="Times New Roman" w:cs="Times New Roman" w:eastAsia="Times New Roman"/>
                <w:b w:val="0"/>
                <w:i w:val="0"/>
                <w:sz w:val="28"/>
              </w:rPr>
              <w:t>0,49</w:t>
            </w:r>
          </w:p>
        </w:tc>
        <w:tc>
          <w:tcPr>
            <w:tcW w:type="dxa" w:w="1984"/>
          </w:tcPr>
          <w:p>
            <w:pPr>
              <w:spacing w:lineRule="auto" w:line="240" w:before="0" w:after="0"/>
              <w:jc w:val="left"/>
            </w:pPr>
            <w:r/>
            <w:r>
              <w:rPr>
                <w:rFonts w:ascii="Times New Roman" w:hAnsi="Times New Roman" w:cs="Times New Roman" w:eastAsia="Times New Roman"/>
                <w:b w:val="0"/>
                <w:i w:val="0"/>
                <w:sz w:val="28"/>
              </w:rPr>
              <w:t>0,65</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M</w:t>
            </w:r>
          </w:p>
        </w:tc>
        <w:tc>
          <w:tcPr>
            <w:tcW w:type="dxa" w:w="1134"/>
          </w:tcPr>
          <w:p>
            <w:pPr>
              <w:spacing w:lineRule="auto" w:line="240" w:before="0" w:after="0"/>
              <w:jc w:val="left"/>
            </w:pPr>
            <w:r/>
            <w:r>
              <w:rPr>
                <w:rFonts w:ascii="Times New Roman" w:hAnsi="Times New Roman" w:cs="Times New Roman" w:eastAsia="Times New Roman"/>
                <w:b w:val="0"/>
                <w:i w:val="0"/>
                <w:sz w:val="28"/>
              </w:rPr>
              <w:t>0,40</w:t>
            </w:r>
          </w:p>
        </w:tc>
        <w:tc>
          <w:tcPr>
            <w:tcW w:type="dxa" w:w="1134"/>
          </w:tcPr>
          <w:p>
            <w:pPr>
              <w:spacing w:lineRule="auto" w:line="240" w:before="0" w:after="0"/>
              <w:jc w:val="left"/>
            </w:pPr>
            <w:r/>
            <w:r>
              <w:rPr>
                <w:rFonts w:ascii="Times New Roman" w:hAnsi="Times New Roman" w:cs="Times New Roman" w:eastAsia="Times New Roman"/>
                <w:b w:val="0"/>
                <w:i w:val="0"/>
                <w:sz w:val="28"/>
              </w:rPr>
              <w:t>0,45</w:t>
            </w:r>
          </w:p>
        </w:tc>
        <w:tc>
          <w:tcPr>
            <w:tcW w:type="dxa" w:w="1587"/>
          </w:tcPr>
          <w:p>
            <w:pPr>
              <w:spacing w:lineRule="auto" w:line="240" w:before="0" w:after="0"/>
              <w:jc w:val="left"/>
            </w:pPr>
            <w:r/>
            <w:r>
              <w:rPr>
                <w:rFonts w:ascii="Times New Roman" w:hAnsi="Times New Roman" w:cs="Times New Roman" w:eastAsia="Times New Roman"/>
                <w:b w:val="0"/>
                <w:i w:val="0"/>
                <w:sz w:val="28"/>
              </w:rPr>
              <w:t>0,10</w:t>
            </w:r>
          </w:p>
        </w:tc>
        <w:tc>
          <w:tcPr>
            <w:tcW w:type="dxa" w:w="1814"/>
          </w:tcPr>
          <w:p>
            <w:pPr>
              <w:spacing w:lineRule="auto" w:line="240" w:before="0" w:after="0"/>
              <w:jc w:val="left"/>
            </w:pPr>
            <w:r/>
            <w:r>
              <w:rPr>
                <w:rFonts w:ascii="Times New Roman" w:hAnsi="Times New Roman" w:cs="Times New Roman" w:eastAsia="Times New Roman"/>
                <w:b w:val="0"/>
                <w:i w:val="0"/>
                <w:sz w:val="28"/>
              </w:rPr>
              <w:t>0,52</w:t>
            </w:r>
          </w:p>
        </w:tc>
        <w:tc>
          <w:tcPr>
            <w:tcW w:type="dxa" w:w="1984"/>
          </w:tcPr>
          <w:p>
            <w:pPr>
              <w:spacing w:lineRule="auto" w:line="240" w:before="0" w:after="0"/>
              <w:jc w:val="left"/>
            </w:pPr>
            <w:r/>
            <w:r>
              <w:rPr>
                <w:rFonts w:ascii="Times New Roman" w:hAnsi="Times New Roman" w:cs="Times New Roman" w:eastAsia="Times New Roman"/>
                <w:b w:val="0"/>
                <w:i w:val="0"/>
                <w:sz w:val="28"/>
              </w:rPr>
              <w:t>0,88</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S</w:t>
            </w:r>
          </w:p>
        </w:tc>
        <w:tc>
          <w:tcPr>
            <w:tcW w:type="dxa" w:w="1134"/>
          </w:tcPr>
          <w:p>
            <w:pPr>
              <w:spacing w:lineRule="auto" w:line="240" w:before="0" w:after="0"/>
              <w:jc w:val="left"/>
            </w:pPr>
            <w:r/>
            <w:r>
              <w:rPr>
                <w:rFonts w:ascii="Times New Roman" w:hAnsi="Times New Roman" w:cs="Times New Roman" w:eastAsia="Times New Roman"/>
                <w:b w:val="0"/>
                <w:i w:val="0"/>
                <w:sz w:val="28"/>
              </w:rPr>
              <w:t>0,20</w:t>
            </w:r>
          </w:p>
        </w:tc>
        <w:tc>
          <w:tcPr>
            <w:tcW w:type="dxa" w:w="1134"/>
          </w:tcPr>
          <w:p>
            <w:pPr>
              <w:spacing w:lineRule="auto" w:line="240" w:before="0" w:after="0"/>
              <w:jc w:val="left"/>
            </w:pPr>
            <w:r/>
            <w:r>
              <w:rPr>
                <w:rFonts w:ascii="Times New Roman" w:hAnsi="Times New Roman" w:cs="Times New Roman" w:eastAsia="Times New Roman"/>
                <w:b w:val="0"/>
                <w:i w:val="0"/>
                <w:sz w:val="28"/>
              </w:rPr>
              <w:t>0,25</w:t>
            </w:r>
          </w:p>
        </w:tc>
        <w:tc>
          <w:tcPr>
            <w:tcW w:type="dxa" w:w="1587"/>
          </w:tcPr>
          <w:p>
            <w:pPr>
              <w:spacing w:lineRule="auto" w:line="240" w:before="0" w:after="0"/>
              <w:jc w:val="left"/>
            </w:pPr>
            <w:r/>
            <w:r>
              <w:rPr>
                <w:rFonts w:ascii="Times New Roman" w:hAnsi="Times New Roman" w:cs="Times New Roman" w:eastAsia="Times New Roman"/>
                <w:b w:val="0"/>
                <w:i w:val="0"/>
                <w:sz w:val="28"/>
              </w:rPr>
              <w:t>0,00</w:t>
            </w:r>
          </w:p>
        </w:tc>
        <w:tc>
          <w:tcPr>
            <w:tcW w:type="dxa" w:w="1814"/>
          </w:tcPr>
          <w:p>
            <w:pPr>
              <w:spacing w:lineRule="auto" w:line="240" w:before="0" w:after="0"/>
              <w:jc w:val="left"/>
            </w:pPr>
            <w:r/>
            <w:r>
              <w:rPr>
                <w:rFonts w:ascii="Times New Roman" w:hAnsi="Times New Roman" w:cs="Times New Roman" w:eastAsia="Times New Roman"/>
                <w:b w:val="0"/>
                <w:i w:val="0"/>
                <w:sz w:val="28"/>
              </w:rPr>
              <w:t>0,62</w:t>
            </w:r>
          </w:p>
        </w:tc>
        <w:tc>
          <w:tcPr>
            <w:tcW w:type="dxa" w:w="1984"/>
          </w:tcPr>
          <w:p>
            <w:pPr>
              <w:spacing w:lineRule="auto" w:line="240" w:before="0" w:after="0"/>
              <w:jc w:val="left"/>
            </w:pPr>
            <w:r/>
            <w:r>
              <w:rPr>
                <w:rFonts w:ascii="Times New Roman" w:hAnsi="Times New Roman" w:cs="Times New Roman" w:eastAsia="Times New Roman"/>
                <w:b w:val="0"/>
                <w:i w:val="0"/>
                <w:sz w:val="28"/>
              </w:rPr>
              <w:t>0,60</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C</w:t>
            </w:r>
          </w:p>
        </w:tc>
        <w:tc>
          <w:tcPr>
            <w:tcW w:type="dxa" w:w="1134"/>
          </w:tcPr>
          <w:p>
            <w:pPr>
              <w:spacing w:lineRule="auto" w:line="240" w:before="0" w:after="0"/>
              <w:jc w:val="left"/>
            </w:pPr>
            <w:r/>
            <w:r>
              <w:rPr>
                <w:rFonts w:ascii="Times New Roman" w:hAnsi="Times New Roman" w:cs="Times New Roman" w:eastAsia="Times New Roman"/>
                <w:b w:val="0"/>
                <w:i w:val="0"/>
                <w:sz w:val="28"/>
              </w:rPr>
              <w:t>0,25</w:t>
            </w:r>
          </w:p>
        </w:tc>
        <w:tc>
          <w:tcPr>
            <w:tcW w:type="dxa" w:w="1134"/>
          </w:tcPr>
          <w:p>
            <w:pPr>
              <w:spacing w:lineRule="auto" w:line="240" w:before="0" w:after="0"/>
              <w:jc w:val="left"/>
            </w:pPr>
            <w:r/>
            <w:r>
              <w:rPr>
                <w:rFonts w:ascii="Times New Roman" w:hAnsi="Times New Roman" w:cs="Times New Roman" w:eastAsia="Times New Roman"/>
                <w:b w:val="0"/>
                <w:i w:val="0"/>
                <w:sz w:val="28"/>
              </w:rPr>
              <w:t>0,20</w:t>
            </w:r>
          </w:p>
        </w:tc>
        <w:tc>
          <w:tcPr>
            <w:tcW w:type="dxa" w:w="1587"/>
          </w:tcPr>
          <w:p>
            <w:pPr>
              <w:spacing w:lineRule="auto" w:line="240" w:before="0" w:after="0"/>
              <w:jc w:val="left"/>
            </w:pPr>
            <w:r/>
            <w:r>
              <w:rPr>
                <w:rFonts w:ascii="Times New Roman" w:hAnsi="Times New Roman" w:cs="Times New Roman" w:eastAsia="Times New Roman"/>
                <w:b w:val="0"/>
                <w:i w:val="0"/>
                <w:sz w:val="28"/>
              </w:rPr>
              <w:t>0,40</w:t>
            </w:r>
          </w:p>
        </w:tc>
        <w:tc>
          <w:tcPr>
            <w:tcW w:type="dxa" w:w="1814"/>
          </w:tcPr>
          <w:p>
            <w:pPr>
              <w:spacing w:lineRule="auto" w:line="240" w:before="0" w:after="0"/>
              <w:jc w:val="left"/>
            </w:pPr>
            <w:r/>
            <w:r>
              <w:rPr>
                <w:rFonts w:ascii="Times New Roman" w:hAnsi="Times New Roman" w:cs="Times New Roman" w:eastAsia="Times New Roman"/>
                <w:b w:val="0"/>
                <w:i w:val="0"/>
                <w:sz w:val="28"/>
              </w:rPr>
              <w:t>0,07</w:t>
            </w:r>
          </w:p>
        </w:tc>
        <w:tc>
          <w:tcPr>
            <w:tcW w:type="dxa" w:w="1984"/>
          </w:tcPr>
          <w:p>
            <w:pPr>
              <w:spacing w:lineRule="auto" w:line="240" w:before="0" w:after="0"/>
              <w:jc w:val="left"/>
            </w:pPr>
            <w:r/>
            <w:r>
              <w:rPr>
                <w:rFonts w:ascii="Times New Roman" w:hAnsi="Times New Roman" w:cs="Times New Roman" w:eastAsia="Times New Roman"/>
                <w:b w:val="0"/>
                <w:i w:val="0"/>
                <w:sz w:val="28"/>
              </w:rPr>
              <w:t>0,04</w:t>
            </w:r>
          </w:p>
        </w:tc>
      </w:tr>
      <w:tr>
        <w:trPr>
          <w:cantSplit/>
        </w:trPr>
        <w:tc>
          <w:tcPr>
            <w:tcW w:type="dxa" w:w="1701"/>
          </w:tcPr>
          <w:p>
            <w:pPr>
              <w:spacing w:lineRule="auto" w:line="240" w:before="0" w:after="0"/>
              <w:jc w:val="center"/>
            </w:pPr>
            <w:r/>
            <w:r>
              <w:rPr>
                <w:rFonts w:ascii="Times New Roman" w:hAnsi="Times New Roman" w:cs="Times New Roman" w:eastAsia="Times New Roman"/>
                <w:b w:val="0"/>
                <w:i w:val="0"/>
                <w:sz w:val="28"/>
              </w:rPr>
              <w:t>Q_CM</w:t>
            </w:r>
          </w:p>
        </w:tc>
        <w:tc>
          <w:tcPr>
            <w:tcW w:type="dxa" w:w="1134"/>
          </w:tcPr>
          <w:p>
            <w:pPr>
              <w:spacing w:lineRule="auto" w:line="240" w:before="0" w:after="0"/>
              <w:jc w:val="left"/>
            </w:pPr>
            <w:r/>
            <w:r>
              <w:rPr>
                <w:rFonts w:ascii="Times New Roman" w:hAnsi="Times New Roman" w:cs="Times New Roman" w:eastAsia="Times New Roman"/>
                <w:b w:val="0"/>
                <w:i w:val="0"/>
                <w:sz w:val="28"/>
              </w:rPr>
              <w:t>0,22</w:t>
            </w:r>
          </w:p>
        </w:tc>
        <w:tc>
          <w:tcPr>
            <w:tcW w:type="dxa" w:w="1134"/>
          </w:tcPr>
          <w:p>
            <w:pPr>
              <w:spacing w:lineRule="auto" w:line="240" w:before="0" w:after="0"/>
              <w:jc w:val="left"/>
            </w:pPr>
            <w:r/>
            <w:r>
              <w:rPr>
                <w:rFonts w:ascii="Times New Roman" w:hAnsi="Times New Roman" w:cs="Times New Roman" w:eastAsia="Times New Roman"/>
                <w:b w:val="0"/>
                <w:i w:val="0"/>
                <w:sz w:val="28"/>
              </w:rPr>
              <w:t>0,27</w:t>
            </w:r>
          </w:p>
        </w:tc>
        <w:tc>
          <w:tcPr>
            <w:tcW w:type="dxa" w:w="1587"/>
          </w:tcPr>
          <w:p>
            <w:pPr>
              <w:spacing w:lineRule="auto" w:line="240" w:before="0" w:after="0"/>
              <w:jc w:val="left"/>
            </w:pPr>
            <w:r/>
            <w:r>
              <w:rPr>
                <w:rFonts w:ascii="Times New Roman" w:hAnsi="Times New Roman" w:cs="Times New Roman" w:eastAsia="Times New Roman"/>
                <w:b w:val="0"/>
                <w:i w:val="0"/>
                <w:sz w:val="28"/>
              </w:rPr>
              <w:t>−0,04</w:t>
            </w:r>
          </w:p>
        </w:tc>
        <w:tc>
          <w:tcPr>
            <w:tcW w:type="dxa" w:w="1814"/>
          </w:tcPr>
          <w:p>
            <w:pPr>
              <w:spacing w:lineRule="auto" w:line="240" w:before="0" w:after="0"/>
              <w:jc w:val="left"/>
            </w:pPr>
            <w:r/>
            <w:r>
              <w:rPr>
                <w:rFonts w:ascii="Times New Roman" w:hAnsi="Times New Roman" w:cs="Times New Roman" w:eastAsia="Times New Roman"/>
                <w:b w:val="0"/>
                <w:i w:val="0"/>
                <w:sz w:val="28"/>
              </w:rPr>
              <w:t>0,44</w:t>
            </w:r>
          </w:p>
        </w:tc>
        <w:tc>
          <w:tcPr>
            <w:tcW w:type="dxa" w:w="1984"/>
          </w:tcPr>
          <w:p>
            <w:pPr>
              <w:spacing w:lineRule="auto" w:line="240" w:before="0" w:after="0"/>
              <w:jc w:val="left"/>
            </w:pPr>
            <w:r/>
            <w:r>
              <w:rPr>
                <w:rFonts w:ascii="Times New Roman" w:hAnsi="Times New Roman" w:cs="Times New Roman" w:eastAsia="Times New Roman"/>
                <w:b w:val="0"/>
                <w:i w:val="0"/>
                <w:sz w:val="28"/>
              </w:rPr>
              <w:t>0,59</w:t>
            </w:r>
          </w:p>
        </w:tc>
      </w:tr>
    </w:tbl>
    <w:p>
      <w:pPr>
        <w:spacing w:lineRule="auto" w:line="360" w:before="60" w:after="60"/>
        <w:jc w:val="both"/>
      </w:pPr>
      <w:r>
        <w:rPr>
          <w:rFonts w:ascii="Times New Roman" w:hAnsi="Times New Roman" w:cs="Times New Roman" w:eastAsia="Times New Roman"/>
          <w:b w:val="0"/>
          <w:i/>
          <w:sz w:val="28"/>
        </w:rPr>
        <w:t>Источник: расчёт автора, значения для Ansible/Puppet получены экспертным анализом типовых репозиториев</w:t>
      </w:r>
    </w:p>
    <w:p>
      <w:pPr>
        <w:spacing w:lineRule="auto" w:line="360" w:before="60" w:after="60"/>
        <w:ind w:firstLine="850"/>
        <w:jc w:val="both"/>
      </w:pPr>
      <w:r>
        <w:rPr>
          <w:rFonts w:ascii="Times New Roman" w:hAnsi="Times New Roman" w:cs="Times New Roman" w:eastAsia="Times New Roman"/>
          <w:b w:val="0"/>
          <w:i w:val="0"/>
          <w:sz w:val="28"/>
        </w:rPr>
        <w:t>Полученное значение Q_CM = 0,44 превосходит Ansible в 2 раза (0,22), Puppet — в 1,6 раза (0,27) и недостижимо для изолированной NixOS-конфигурации (отрицательное значение, обусловленное избыточностью). Преимущество разработанной системы достигается главным образом за счёт высокого коэффициента сокращения кода S = 0,62 (вдвое выше, чем у конвергентных аналогов) и низкой избыточности C = 0,07 (почти в четыре раза ниже, чем у Ansible). Помимо количественных метрик, разработанная система превосходит аналоги по ряду качественных характеристик: конгруэнтная модель управления исключает configuration drift по построению, атомарные обновления гарантируют отсутствие частично применённых состояний, а возможность мгновенного отката к любому из ранее применённых поколений снижает риск при изменении конфигурации до уровня, недостижимого в конвергентных системах.</w:t>
      </w:r>
    </w:p>
    <w:p>
      <w:pPr>
        <w:spacing w:lineRule="auto" w:line="360" w:before="60" w:after="60"/>
        <w:ind w:firstLine="850"/>
        <w:jc w:val="both"/>
      </w:pPr>
      <w:r>
        <w:rPr>
          <w:rFonts w:ascii="Times New Roman" w:hAnsi="Times New Roman" w:cs="Times New Roman" w:eastAsia="Times New Roman"/>
          <w:b w:val="0"/>
          <w:i w:val="0"/>
          <w:sz w:val="28"/>
        </w:rPr>
        <w:t>Полученные результаты согласуются с современными тенденциями в области управления конфигурацией. Согласно отчёту Puppet «State of DevOps Report 2024», 80 % организаций практикуют DevOps, причём 50 % из них относятся к категории высокопроизводительных [10]. Рынок DevOps-инструментов прогнозируется на уровне 25,5 млрд долл. к 2028 году [11], а 45 % организаций уже внедрили практику Infrastructure as Code, при этом 74 % ИТ-руководителей рассматривают её в качестве ключевого фактора облачной трансформации [12]. Разработанная система реализует все ключевые принципы Infrastructure as Code (декларативность, воспроизводимость, версионирование) с дополнительной гарантией конгруэнтности, что отвечает запросам современной отрасли на повышение надёжности и предсказуемости управления инфраструктурой.</w:t>
      </w:r>
    </w:p>
    <w:p>
      <w:pPr>
        <w:spacing w:lineRule="auto" w:line="360" w:before="60" w:after="60"/>
        <w:ind w:firstLine="850"/>
        <w:jc w:val="both"/>
      </w:pPr>
      <w:r>
        <w:rPr>
          <w:rFonts w:ascii="Times New Roman" w:hAnsi="Times New Roman" w:cs="Times New Roman" w:eastAsia="Times New Roman"/>
          <w:b/>
          <w:i w:val="0"/>
          <w:sz w:val="28"/>
        </w:rPr>
        <w:t>Выводы.</w:t>
      </w:r>
    </w:p>
    <w:p>
      <w:pPr>
        <w:spacing w:lineRule="auto" w:line="360" w:before="60" w:after="60"/>
        <w:ind w:firstLine="850"/>
        <w:jc w:val="both"/>
      </w:pPr>
      <w:r>
        <w:rPr>
          <w:rFonts w:ascii="Times New Roman" w:hAnsi="Times New Roman" w:cs="Times New Roman" w:eastAsia="Times New Roman"/>
          <w:b w:val="0"/>
          <w:i w:val="0"/>
          <w:sz w:val="28"/>
        </w:rPr>
        <w:t>В работе предложена и реализована модульная система управления конфигурацией вычислительной инфраструктуры на базе декларативной операционной системы NixOS. Разработана математическая модель оценки качества управления конфигурацией с интегральным показателем Q_CM, учитывающим переиспользование модулей, модульность архитектуры, сокращение кода и избыточность. Предложена трёхуровневая архитектура «модули — наборы — профили» с механизмом наследования профилей, обеспечивающим аддитивное накопление функциональности.</w:t>
      </w:r>
    </w:p>
    <w:p>
      <w:pPr>
        <w:spacing w:lineRule="auto" w:line="360" w:before="60" w:after="60"/>
        <w:ind w:firstLine="850"/>
        <w:jc w:val="both"/>
      </w:pPr>
      <w:r>
        <w:rPr>
          <w:rFonts w:ascii="Times New Roman" w:hAnsi="Times New Roman" w:cs="Times New Roman" w:eastAsia="Times New Roman"/>
          <w:b w:val="0"/>
          <w:i w:val="0"/>
          <w:sz w:val="28"/>
        </w:rPr>
        <w:t>Экспериментальная оценка реализованной системы на инфраструктуре из трёх хостов показала достижение интегрального показателя качества Q_CM = 0,44 при пороговом значении 0,41, что соответствует превышению порога на 7 %. Коэффициент сокращения кода составил 62 % (в 2–3 раза выше, чем у конвергентных аналогов), избыточность — 7 % (в 3–6 раз ниже). Время подготовки нового хоста сокращено с 60–120 минут до 10–15 минут. По интегральному показателю Q_CM разработанная система превосходит Ansible в 2 раза и Puppet в 1,6 раза. Установлено, что разработанная архитектура демонстрирует положительный эффект масштаба: при увеличении количества управляемых хостов до 10 прогнозное значение Q_CM возрастает до 0,59, что свидетельствует о пригодности предложенного подхода для управления гетерогенными инфраструктурами среднего и крупного масштаба.</w:t>
      </w:r>
    </w:p>
    <w:p>
      <w:pPr>
        <w:spacing w:lineRule="auto" w:line="360" w:before="60" w:after="60"/>
        <w:ind w:firstLine="850"/>
        <w:jc w:val="both"/>
      </w:pPr>
      <w:r>
        <w:rPr>
          <w:rFonts w:ascii="Times New Roman" w:hAnsi="Times New Roman" w:cs="Times New Roman" w:eastAsia="Times New Roman"/>
          <w:b w:val="0"/>
          <w:i w:val="0"/>
          <w:sz w:val="28"/>
        </w:rPr>
        <w:t>Дальнейшие направления исследования включают расширение прогнозной модели на инфраструктуры с числом хостов более 50, разработку методики автоматизированной генерации профилей по описанию ролей, интеграцию с системами GitOps и адаптацию предложенной архитектуры к управлению контейнерными конфигурациями (Docker, Kubernetes-манифесты) на базе Nix-выражений.</w:t>
      </w:r>
    </w:p>
    <w:p>
      <w:pPr>
        <w:spacing w:lineRule="auto" w:line="360" w:before="60" w:after="60"/>
        <w:ind w:firstLine="850"/>
        <w:jc w:val="both"/>
      </w:pPr>
    </w:p>
    <w:p>
      <w:pPr>
        <w:spacing w:lineRule="auto" w:line="360" w:before="60" w:after="60"/>
        <w:ind w:firstLine="709"/>
        <w:jc w:val="both"/>
      </w:pPr>
      <w:r>
        <w:rPr>
          <w:rFonts w:ascii="Times New Roman" w:hAnsi="Times New Roman" w:cs="Times New Roman" w:eastAsia="Times New Roman"/>
          <w:b/>
          <w:i w:val="0"/>
          <w:sz w:val="28"/>
        </w:rPr>
        <w:t>Литература:</w:t>
      </w:r>
    </w:p>
    <w:p>
      <w:pPr>
        <w:spacing w:lineRule="auto" w:line="360" w:before="60" w:after="60"/>
        <w:ind w:firstLine="709"/>
        <w:jc w:val="both"/>
      </w:pPr>
      <w:r>
        <w:rPr>
          <w:rFonts w:ascii="Times New Roman" w:hAnsi="Times New Roman" w:cs="Times New Roman" w:eastAsia="Times New Roman"/>
          <w:b w:val="0"/>
          <w:i w:val="0"/>
          <w:sz w:val="28"/>
        </w:rPr>
        <w:t>1.</w:t>
        <w:tab/>
      </w:r>
      <w:r>
        <w:rPr>
          <w:rFonts w:ascii="Times New Roman" w:hAnsi="Times New Roman" w:cs="Times New Roman" w:eastAsia="Times New Roman"/>
          <w:b w:val="0"/>
          <w:i w:val="0"/>
          <w:sz w:val="28"/>
        </w:rPr>
        <w:t>Annual Outage Analysis 2023: The Causes and Impacts of IT and Data Center Outages [Электронный ресурс] / Uptime Institute. – 2023. – URL: https://uptimeinstitute.com/uptime_assets/5f40588be8d57272f91e4526dc8f821521950b7bec7148f815b6612651d5a9b3-annual-outages-analysis-2023.pdf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2.</w:t>
        <w:tab/>
      </w:r>
      <w:r>
        <w:rPr>
          <w:rFonts w:ascii="Times New Roman" w:hAnsi="Times New Roman" w:cs="Times New Roman" w:eastAsia="Times New Roman"/>
          <w:b w:val="0"/>
          <w:i w:val="0"/>
          <w:sz w:val="28"/>
        </w:rPr>
        <w:t>Industry's Largest Survey Finds Enterprises Realize 2X ROI on Observability [Электронный ресурс] / New Relic. – 12.09.2023. – URL: https://newrelic.com/press-release/20230912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3.</w:t>
        <w:tab/>
      </w:r>
      <w:r>
        <w:rPr>
          <w:rFonts w:ascii="Times New Roman" w:hAnsi="Times New Roman" w:cs="Times New Roman" w:eastAsia="Times New Roman"/>
          <w:b w:val="0"/>
          <w:i w:val="0"/>
          <w:sz w:val="28"/>
        </w:rPr>
        <w:t>Configuration Drift: Why It's Bad and How to Eliminate It [Электронный ресурс] / Aqua Security. – 2022. – URL: https://www.aquasec.com/cloud-native-academy/vulnerability-management/configuration-drift/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4.</w:t>
        <w:tab/>
      </w:r>
      <w:r>
        <w:rPr>
          <w:rFonts w:ascii="Times New Roman" w:hAnsi="Times New Roman" w:cs="Times New Roman" w:eastAsia="Times New Roman"/>
          <w:b w:val="0"/>
          <w:i w:val="0"/>
          <w:sz w:val="28"/>
        </w:rPr>
        <w:t>The State of Network Automation: Configuration Management Obstacles are Universal [Электронный ресурс] / EMA Research, Itential. – 2021. – URL: https://www.itential.com/what-is-network-automation/research-state-of-network-automation/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5.</w:t>
        <w:tab/>
      </w:r>
      <w:r>
        <w:rPr>
          <w:rFonts w:ascii="Times New Roman" w:hAnsi="Times New Roman" w:cs="Times New Roman" w:eastAsia="Times New Roman"/>
          <w:b w:val="0"/>
          <w:i w:val="0"/>
          <w:sz w:val="28"/>
        </w:rPr>
        <w:t>Declarative Management of Kubernetes Objects Using Configuration Files [Электронный ресурс] / Kubernetes Documentation. – 2023. – URL: https://kubernetes.io/docs/tasks/manage-kubernetes-objects/declarative-config/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6.</w:t>
        <w:tab/>
      </w:r>
      <w:r>
        <w:rPr>
          <w:rFonts w:ascii="Times New Roman" w:hAnsi="Times New Roman" w:cs="Times New Roman" w:eastAsia="Times New Roman"/>
          <w:b w:val="0"/>
          <w:i w:val="0"/>
          <w:sz w:val="28"/>
        </w:rPr>
        <w:t>AWS Well-Architected Framework. REL08-BP04: Deploy using immutable infrastructure [Электронный ресурс] / Amazon Web Services. – 10.04.2023. – URL: https://docs.aws.amazon.com/wellarchitected/2023-04-10/framework/rel_tracking_change_management_immutable_infrastructure.html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7.</w:t>
        <w:tab/>
      </w:r>
      <w:r>
        <w:rPr>
          <w:rFonts w:ascii="Times New Roman" w:hAnsi="Times New Roman" w:cs="Times New Roman" w:eastAsia="Times New Roman"/>
          <w:b w:val="0"/>
          <w:i w:val="0"/>
          <w:sz w:val="28"/>
        </w:rPr>
        <w:t>NixOS Manual [Электронный ресурс] / NixOS Project. – URL: https://nixos.org/manual/nixos/stable/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8.</w:t>
        <w:tab/>
      </w:r>
      <w:r>
        <w:rPr>
          <w:rFonts w:ascii="Times New Roman" w:hAnsi="Times New Roman" w:cs="Times New Roman" w:eastAsia="Times New Roman"/>
          <w:b w:val="0"/>
          <w:i w:val="0"/>
          <w:sz w:val="28"/>
        </w:rPr>
        <w:t>What is the DRY (don't repeat yourself) principle? [Электронный ресурс] / TechTarget. – 04.08.2025. – URL: https://www.techtarget.com/whatis/definition/DRY-principle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9.</w:t>
        <w:tab/>
      </w:r>
      <w:r>
        <w:rPr>
          <w:rFonts w:ascii="Times New Roman" w:hAnsi="Times New Roman" w:cs="Times New Roman" w:eastAsia="Times New Roman"/>
          <w:b w:val="0"/>
          <w:i w:val="0"/>
          <w:sz w:val="28"/>
        </w:rPr>
        <w:t>Snowfall Lib Documentation [Электронный ресурс] / Snowfall Software. – URL: https://snowfall.org/guides/lib/quickstart/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10.</w:t>
        <w:tab/>
      </w:r>
      <w:r>
        <w:rPr>
          <w:rFonts w:ascii="Times New Roman" w:hAnsi="Times New Roman" w:cs="Times New Roman" w:eastAsia="Times New Roman"/>
          <w:b w:val="0"/>
          <w:i w:val="0"/>
          <w:sz w:val="28"/>
        </w:rPr>
        <w:t>State of DevOps Report 2024 [Электронный ресурс] / Puppet by Perforce. – 2024. – URL: https://www.puppet.com/resources/state-of-devops-report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11.</w:t>
        <w:tab/>
      </w:r>
      <w:r>
        <w:rPr>
          <w:rFonts w:ascii="Times New Roman" w:hAnsi="Times New Roman" w:cs="Times New Roman" w:eastAsia="Times New Roman"/>
          <w:b w:val="0"/>
          <w:i w:val="0"/>
          <w:sz w:val="28"/>
        </w:rPr>
        <w:t>DevOps Market Size, Share &amp; Trends Analysis Report [Электронный ресурс] / Polaris Market Research. – 2024. – URL: https://www.polarismarketresearch.com/industry-analysis/devops-market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12.</w:t>
        <w:tab/>
      </w:r>
      <w:r>
        <w:rPr>
          <w:rFonts w:ascii="Times New Roman" w:hAnsi="Times New Roman" w:cs="Times New Roman" w:eastAsia="Times New Roman"/>
          <w:b w:val="0"/>
          <w:i w:val="0"/>
          <w:sz w:val="28"/>
        </w:rPr>
        <w:t>Infrastructure as Code (IaC) Market Size, Share &amp; Segmentation (Global Forecast 2024–2032) [Электронный ресурс] / SNS Insider. – 2024. – URL: https://www.snsinsider.com/reports/infrastructure-as-code-market-4659 (дата обращения: 14.05.2026).</w:t>
      </w:r>
    </w:p>
    <w:p>
      <w:pPr>
        <w:spacing w:lineRule="auto" w:line="360" w:before="60" w:after="60"/>
        <w:ind w:firstLine="709"/>
        <w:jc w:val="both"/>
      </w:pPr>
      <w:r>
        <w:rPr>
          <w:rFonts w:ascii="Times New Roman" w:hAnsi="Times New Roman" w:cs="Times New Roman" w:eastAsia="Times New Roman"/>
          <w:b w:val="0"/>
          <w:i w:val="0"/>
          <w:sz w:val="28"/>
        </w:rPr>
        <w:t>13.</w:t>
        <w:tab/>
      </w:r>
      <w:r>
        <w:rPr>
          <w:rFonts w:ascii="Times New Roman" w:hAnsi="Times New Roman" w:cs="Times New Roman" w:eastAsia="Times New Roman"/>
          <w:b w:val="0"/>
          <w:i w:val="0"/>
          <w:sz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 – 27 с.</w:t>
      </w:r>
    </w:p>
    <w:p>
      <w:pPr>
        <w:spacing w:lineRule="auto" w:line="360" w:before="60" w:after="60"/>
        <w:ind w:firstLine="709"/>
        <w:jc w:val="both"/>
      </w:pPr>
      <w:r>
        <w:rPr>
          <w:rFonts w:ascii="Times New Roman" w:hAnsi="Times New Roman" w:cs="Times New Roman" w:eastAsia="Times New Roman"/>
          <w:b w:val="0"/>
          <w:i w:val="0"/>
          <w:sz w:val="28"/>
        </w:rPr>
        <w:t>14.</w:t>
        <w:tab/>
      </w:r>
      <w:r>
        <w:rPr>
          <w:rFonts w:ascii="Times New Roman" w:hAnsi="Times New Roman" w:cs="Times New Roman" w:eastAsia="Times New Roman"/>
          <w:b w:val="0"/>
          <w:i w:val="0"/>
          <w:sz w:val="28"/>
        </w:rPr>
        <w:t>ISO/IEC 25010:2011. Systems and Software Engineering. Systems and Software Quality Requirements and Evaluation (SQuaRE). System and Software Quality Models. – Geneva: ISO, 2011. – 34 p.</w:t>
      </w:r>
    </w:p>
    <w:p>
      <w:pPr>
        <w:spacing w:lineRule="auto" w:line="360" w:before="60" w:after="60"/>
        <w:ind w:firstLine="709"/>
        <w:jc w:val="both"/>
      </w:pPr>
      <w:r>
        <w:rPr>
          <w:rFonts w:ascii="Times New Roman" w:hAnsi="Times New Roman" w:cs="Times New Roman" w:eastAsia="Times New Roman"/>
          <w:b w:val="0"/>
          <w:i w:val="0"/>
          <w:sz w:val="28"/>
        </w:rPr>
        <w:t>15.</w:t>
        <w:tab/>
      </w:r>
      <w:r>
        <w:rPr>
          <w:rFonts w:ascii="Times New Roman" w:hAnsi="Times New Roman" w:cs="Times New Roman" w:eastAsia="Times New Roman"/>
          <w:b w:val="0"/>
          <w:i w:val="0"/>
          <w:sz w:val="28"/>
        </w:rPr>
        <w:t>ANSI/EIA-649B. National Consensus Standard for Configuration Management. – Warrendale: SAE International, 2011. – 48 p.</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