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Составители: З.В. </w:t>
      </w:r>
      <w:r>
        <w:rPr>
          <w:highlight w:val="yellow"/>
        </w:rPr>
        <w:t>Дегтярева</w:t>
      </w:r>
      <w:r>
        <w:rPr/>
        <w:t xml:space="preserve"> – преподаватель по классу вокала ГБУДО г. Москвы «ДШИ имени И.С. Козловского». Л.Е. Вертоградова – заведующая вокальным отделом ГБУДО г. Москвы «ДШИ имени И.С. Козловского»: Г.Б. Май – заместитель директора по общим вопросам ГБУДО г. Москвы «ДШИ имени И.С. Козловского»; М.А. Звягина – директор ГБУДО г. Москвы «ДШИ имени И.С. Козловского».</w:t>
      </w:r>
    </w:p>
    <w:p>
      <w:pPr>
        <w:pStyle w:val="Heading2"/>
        <w:jc w:val="center"/>
      </w:pPr>
      <w:r>
        <w:rPr>
          <w:b/>
        </w:rPr>
        <w:t xml:space="preserve">1. Цели и </w:t>
      </w:r>
      <w:r>
        <w:rPr>
          <w:b/>
          <w:highlight w:val="yellow"/>
        </w:rPr>
        <w:t>задачи</w:t>
      </w:r>
    </w:p>
    <w:p>
      <w:r>
        <w:rPr/>
        <w:t>Целью учебного предмета является обеспечение развития творческих способностей и индивидуальности учащегося, овладение знаниями и представлениями о вокальном исполнительстве, формирование практических умений и навыков пения, устойчивого интереса к самостоятельной деятельности в области музыкального искусства.</w:t>
      </w:r>
    </w:p>
    <w:p>
      <w:r>
        <w:rPr/>
        <w:t>Задачи учебного предмета:</w:t>
      </w:r>
    </w:p>
    <w:p>
      <w:r>
        <w:t xml:space="preserve">• </w:t>
      </w:r>
      <w:r>
        <w:rPr/>
        <w:t>создание условий для художественного образования, эстетического воспитания, духовно-нравственного развития детей;</w:t>
      </w:r>
    </w:p>
    <w:p>
      <w:r>
        <w:t xml:space="preserve">• </w:t>
      </w:r>
      <w:r>
        <w:rPr/>
        <w:t>формирование у учащихся эстетических взглядов, нравственных установок и потребности общения с духовными ценностями, произведениями искусства;</w:t>
      </w:r>
    </w:p>
    <w:p>
      <w:r>
        <w:t xml:space="preserve">• </w:t>
      </w:r>
      <w:r>
        <w:rPr/>
        <w:t>воспитание активного слушателя, зрителя, участника творческой самодеятельности;</w:t>
      </w:r>
    </w:p>
    <w:p>
      <w:r>
        <w:t xml:space="preserve">• </w:t>
      </w:r>
      <w:r>
        <w:rPr/>
        <w:t>приобретение детьми начальных базовых знаний, умений и навыков пения, позволяющих исполнять музыкальные произведения в соответствии с необходимым уровнем музыкальной грамотности и стилевыми традициями;</w:t>
      </w:r>
    </w:p>
    <w:p>
      <w:r>
        <w:t xml:space="preserve">• </w:t>
      </w:r>
      <w:r>
        <w:rPr/>
        <w:t>приобретение знаний основ музыкальной грамоты, основных средств выразительности, используемых в музыкальном искусстве, наиболее употребляемой музыкальной терминологии;</w:t>
      </w:r>
    </w:p>
    <w:p>
      <w:r>
        <w:t xml:space="preserve">• </w:t>
      </w:r>
      <w:r>
        <w:rPr/>
        <w:t>воспитание у детей культуры сольного и ансамблевого музицирования на инструменте, стремления к практическому использованию приобретенных знаний, умений и навыков пения.</w:t>
      </w:r>
    </w:p>
    <w:p>
      <w:pPr>
        <w:pStyle w:val="Heading2"/>
        <w:jc w:val="center"/>
      </w:pPr>
      <w:r>
        <w:rPr>
          <w:b/>
        </w:rPr>
        <w:t>2. Требования к уровню подготовки выпускников</w:t>
      </w:r>
    </w:p>
    <w:p>
      <w:r>
        <w:rPr/>
        <w:t>Результатом освоения общеразвивающей программы «Вокал» является приобретение учащимися следующих знаний, умений и навыков:</w:t>
      </w:r>
    </w:p>
    <w:p>
      <w:r>
        <w:t xml:space="preserve">• </w:t>
      </w:r>
      <w:r>
        <w:rPr/>
        <w:t>навыков исполнения музыкальных произведений;</w:t>
      </w:r>
    </w:p>
    <w:p>
      <w:r>
        <w:t xml:space="preserve">• </w:t>
      </w:r>
      <w:r>
        <w:rPr/>
        <w:t>умений использовать выразительные средства для создания художественного образа;</w:t>
      </w:r>
    </w:p>
    <w:p>
      <w:r>
        <w:t xml:space="preserve">• </w:t>
      </w:r>
      <w:r>
        <w:rPr/>
        <w:t>умений самостоятельно разучивать музыкальные произведения различных жанров и стилей;</w:t>
      </w:r>
    </w:p>
    <w:p>
      <w:r>
        <w:t xml:space="preserve">• </w:t>
      </w:r>
      <w:r>
        <w:rPr/>
        <w:t>знаний основ музыкальной грамоты;</w:t>
      </w:r>
    </w:p>
    <w:p>
      <w:r>
        <w:t xml:space="preserve">• </w:t>
      </w:r>
      <w:r>
        <w:rPr/>
        <w:t>знаний основных средств выразительности, используемых в музыкальном искусстве;</w:t>
      </w:r>
    </w:p>
    <w:p>
      <w:r>
        <w:t xml:space="preserve">• </w:t>
      </w:r>
      <w:r>
        <w:rPr/>
        <w:t>знаний наиболее употребляемой музыкальной терминологии;</w:t>
      </w:r>
    </w:p>
    <w:p>
      <w:r>
        <w:t xml:space="preserve">• </w:t>
      </w:r>
      <w:r>
        <w:rPr/>
        <w:t>навыков публичных выступлений;</w:t>
      </w:r>
    </w:p>
    <w:p>
      <w:r>
        <w:t xml:space="preserve">• </w:t>
      </w:r>
      <w:r>
        <w:rPr/>
        <w:t>навыков общения со слушательской аудиторией в условиях музыкально-просветительской деятельности образовательной организации.</w:t>
      </w:r>
    </w:p>
    <w:p>
      <w:pPr>
        <w:pStyle w:val="Heading2"/>
        <w:jc w:val="center"/>
      </w:pPr>
      <w:r>
        <w:rPr>
          <w:b/>
        </w:rPr>
        <w:t xml:space="preserve">3. </w:t>
      </w:r>
      <w:r>
        <w:rPr>
          <w:b/>
          <w:highlight w:val="yellow"/>
        </w:rPr>
        <w:t>Критерии</w:t>
      </w:r>
      <w:r>
        <w:rPr>
          <w:b/>
        </w:rPr>
        <w:t xml:space="preserve"> оценки при </w:t>
      </w:r>
      <w:r>
        <w:rPr>
          <w:b/>
          <w:highlight w:val="yellow"/>
        </w:rPr>
        <w:t>проведении</w:t>
      </w:r>
      <w:r>
        <w:rPr>
          <w:b/>
        </w:rPr>
        <w:t xml:space="preserve"> промежуточной аттестации</w:t>
      </w:r>
    </w:p>
    <w:p>
      <w:r>
        <w:rPr/>
        <w:t>Успеваемость учащихся учитывается на контрольных показах (академических зачетах, концертах, прослушиваниях). Её систематический контроль является важны элементом учебного процесса, способа проверки знании ученика. Текущий контроль успеваемости осуществляется регулярно.</w:t>
      </w:r>
    </w:p>
    <w:p>
      <w:r>
        <w:rPr/>
        <w:t>Промежуточная аттестация определяет уровень подготовки учащихся на контрольных показах в течение учебного года, а также итоговая аттестация – как переводной этап из класса в класс и как этап завершающий обучение.</w:t>
      </w:r>
    </w:p>
    <w:p>
      <w:r>
        <w:rPr/>
        <w:t>Итоговая оценка включает в себя:</w:t>
      </w:r>
    </w:p>
    <w:p>
      <w:r>
        <w:t xml:space="preserve">1. </w:t>
      </w:r>
      <w:r>
        <w:rPr/>
        <w:t>Четвертные оценки (текущий контроль);</w:t>
      </w:r>
    </w:p>
    <w:p>
      <w:r>
        <w:t xml:space="preserve">2. </w:t>
      </w:r>
      <w:r>
        <w:rPr/>
        <w:t>Оценку на итоговом показе (зачете, экзамене);</w:t>
      </w:r>
    </w:p>
    <w:p>
      <w:r>
        <w:t xml:space="preserve">3. </w:t>
      </w:r>
      <w:r>
        <w:rPr/>
        <w:t>Результаты контрольных проверок в течение года.</w:t>
      </w:r>
    </w:p>
    <w:p>
      <w:r>
        <w:rPr/>
        <w:t>Основным критерием оценки является грамотное исполнение авторского текста, чистота интонации, качество звукоизвлечения, художественная выразительность, знание стиля исполняемых произведений и их формы.</w:t>
      </w:r>
    </w:p>
    <w:p>
      <w:pPr>
        <w:pStyle w:val="Heading2"/>
        <w:jc w:val="center"/>
      </w:pPr>
      <w:r>
        <w:rPr>
          <w:b/>
        </w:rPr>
        <w:t>4. Форма и содержание итоговой аттестации</w:t>
      </w:r>
    </w:p>
    <w:p>
      <w:r>
        <w:rPr/>
        <w:t>Формой итоговой аттестации является экзамен. При прохождении итоговой аттестации выпускник должен продемонстрировать вокально-исполнительские навыки в процессе концертного исполнения произведений различных музыкальных направлений и жанров.</w:t>
      </w:r>
    </w:p>
    <w:p>
      <w:pPr>
        <w:pStyle w:val="Heading2"/>
        <w:jc w:val="center"/>
      </w:pPr>
      <w:r>
        <w:rPr>
          <w:b/>
        </w:rPr>
        <w:t>5. График образовательного процесса</w:t>
      </w:r>
    </w:p>
    <w:p>
      <w:r>
        <w:rPr/>
        <w:t>(график прилагается)</w:t>
      </w:r>
    </w:p>
    <w:p>
      <w:pPr>
        <w:pStyle w:val="Heading2"/>
        <w:jc w:val="center"/>
      </w:pPr>
      <w:r>
        <w:rPr>
          <w:b/>
        </w:rPr>
        <w:t>6. Учебный план</w:t>
      </w:r>
    </w:p>
    <w:p>
      <w:r>
        <w:rPr/>
        <w:t>(учебный план прилагается)</w:t>
      </w:r>
    </w:p>
    <w:p>
      <w:r>
        <w:rPr/>
        <w:t>Продолжительность 1 академического часа составляет 45 минут. Занятия по специальности и предмету по выбору проводятся индивидуально. Занятия по теоретическим предметам являются групповыми и проводятся в форме мелкогрупповых занятий численностью от 4 до 10 человек.</w:t>
      </w:r>
    </w:p>
    <w:p>
      <w:pPr>
        <w:pStyle w:val="Heading2"/>
        <w:jc w:val="center"/>
      </w:pPr>
      <w:r>
        <w:rPr>
          <w:b/>
        </w:rPr>
        <w:t>7. Материально-техническое обеспечение</w:t>
      </w:r>
    </w:p>
    <w:p>
      <w:r>
        <w:rPr/>
        <w:t>Реализация программы предмета «Вокал» предусматривает наличие учебного кабинета для индивидуальных занятий, концертного зала, звукотехнического оборудования, доступ к библиотечному фонду школы.</w:t>
      </w:r>
    </w:p>
    <w:p>
      <w:pPr>
        <w:pStyle w:val="Heading1"/>
        <w:jc w:val="center"/>
      </w:pPr>
      <w:r>
        <w:rPr>
          <w:b/>
        </w:rPr>
        <w:t>Учебный план</w:t>
      </w:r>
      <w:r>
        <w:br/>
      </w:r>
      <w:r>
        <w:rPr>
          <w:b/>
        </w:rPr>
        <w:t>дополнительной общеобразовательной общеразвивающей программы «Сольное пение (Вокал)»</w:t>
      </w:r>
    </w:p>
    <w:p>
      <w:r>
        <w:rPr/>
        <w:t>срок обучения 5/7/8 лет</w:t>
      </w:r>
      <w:r>
        <w:br/>
      </w:r>
      <w:r>
        <w:rPr/>
        <w:t>учебный год 2025-2026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Merge w:val="restart"/>
          </w:tcPr>
          <w:p>
            <w:r>
              <w:rPr>
                <w:b/>
              </w:rPr>
              <w:t>Наименование учебного предмета/предметной области</w:t>
            </w:r>
          </w:p>
        </w:tc>
        <w:tc>
          <w:tcPr>
            <w:tcW w:type="dxa" w:w="6280"/>
            <w:gridSpan w:val="8"/>
          </w:tcPr>
          <w:p>
            <w:r>
              <w:rPr>
                <w:b/>
              </w:rPr>
              <w:t>Годы обучения/количество аудиторных часов в неделю</w:t>
            </w:r>
          </w:p>
        </w:tc>
        <w:tc>
          <w:tcPr>
            <w:tcW w:type="dxa" w:w="785"/>
            <w:vMerge w:val="restart"/>
          </w:tcPr>
          <w:p>
            <w:r>
              <w:rPr>
                <w:b/>
              </w:rPr>
              <w:t>Промежуточная аттестация/зачет (годы обучения)</w:t>
            </w:r>
          </w:p>
        </w:tc>
        <w:tc>
          <w:tcPr>
            <w:tcW w:type="dxa" w:w="785"/>
            <w:vMerge w:val="restart"/>
          </w:tcPr>
          <w:p>
            <w:r>
              <w:rPr>
                <w:b/>
              </w:rPr>
              <w:t>Итоговая аттестация/экзамен (годы обучения)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3925"/>
            <w:gridSpan w:val="5"/>
          </w:tcPr>
          <w:p>
            <w:r>
              <w:rPr>
                <w:b/>
              </w:rPr>
              <w:t>I уровень</w:t>
            </w:r>
          </w:p>
        </w:tc>
        <w:tc>
          <w:tcPr>
            <w:tcW w:type="dxa" w:w="1570"/>
            <w:gridSpan w:val="2"/>
          </w:tcPr>
          <w:p>
            <w:r>
              <w:rPr>
                <w:b/>
              </w:rPr>
              <w:t>II уровень</w:t>
            </w:r>
          </w:p>
        </w:tc>
        <w:tc>
          <w:tcPr>
            <w:tcW w:type="dxa" w:w="785"/>
          </w:tcPr>
          <w:p>
            <w:r>
              <w:rPr>
                <w:b/>
              </w:rPr>
              <w:t>III уровень подготовка к поступлению в СУЗ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  <w:vMerge/>
          </w:tcPr>
          <w:p/>
        </w:tc>
        <w:tc>
          <w:tcPr>
            <w:tcW w:type="dxa" w:w="785"/>
          </w:tcPr>
          <w:p>
            <w:r>
              <w:rPr>
                <w:b/>
              </w:rPr>
              <w:t>I</w:t>
            </w:r>
          </w:p>
        </w:tc>
        <w:tc>
          <w:tcPr>
            <w:tcW w:type="dxa" w:w="785"/>
          </w:tcPr>
          <w:p>
            <w:r>
              <w:rPr>
                <w:b/>
              </w:rPr>
              <w:t>II</w:t>
            </w:r>
          </w:p>
        </w:tc>
        <w:tc>
          <w:tcPr>
            <w:tcW w:type="dxa" w:w="785"/>
          </w:tcPr>
          <w:p>
            <w:r>
              <w:rPr>
                <w:b/>
              </w:rPr>
              <w:t>III</w:t>
            </w:r>
          </w:p>
        </w:tc>
        <w:tc>
          <w:tcPr>
            <w:tcW w:type="dxa" w:w="785"/>
          </w:tcPr>
          <w:p>
            <w:r>
              <w:rPr>
                <w:b/>
              </w:rPr>
              <w:t>IV</w:t>
            </w:r>
          </w:p>
        </w:tc>
        <w:tc>
          <w:tcPr>
            <w:tcW w:type="dxa" w:w="785"/>
          </w:tcPr>
          <w:p>
            <w:r>
              <w:rPr>
                <w:b/>
              </w:rPr>
              <w:t>V</w:t>
            </w:r>
          </w:p>
        </w:tc>
        <w:tc>
          <w:tcPr>
            <w:tcW w:type="dxa" w:w="785"/>
          </w:tcPr>
          <w:p>
            <w:r>
              <w:rPr>
                <w:b/>
              </w:rPr>
              <w:t>VI</w:t>
            </w:r>
          </w:p>
        </w:tc>
        <w:tc>
          <w:tcPr>
            <w:tcW w:type="dxa" w:w="785"/>
          </w:tcPr>
          <w:p>
            <w:r>
              <w:rPr>
                <w:b/>
              </w:rPr>
              <w:t>VII</w:t>
            </w:r>
          </w:p>
        </w:tc>
        <w:tc>
          <w:tcPr>
            <w:tcW w:type="dxa" w:w="785"/>
          </w:tcPr>
          <w:p>
            <w:r>
              <w:rPr>
                <w:b/>
              </w:rPr>
              <w:t>VIII</w:t>
            </w:r>
          </w:p>
        </w:tc>
        <w:tc>
          <w:tcPr>
            <w:tcW w:type="dxa" w:w="785"/>
            <w:vMerge/>
          </w:tcPr>
          <w:p/>
        </w:tc>
        <w:tc>
          <w:tcPr>
            <w:tcW w:type="dxa" w:w="785"/>
            <w:vMerge/>
          </w:tcPr>
          <w:p/>
        </w:tc>
      </w:tr>
      <w:tr>
        <w:tc>
          <w:tcPr>
            <w:tcW w:type="dxa" w:w="785"/>
          </w:tcPr>
          <w:p>
            <w:r>
              <w:rPr>
                <w:b/>
              </w:rPr>
              <w:t>Индивидуальные занятия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rPr/>
              <w:t>Специальность</w:t>
            </w:r>
            <w:r>
              <w:br/>
            </w:r>
            <w:r>
              <w:rPr/>
              <w:t>(Вокал)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2</w:t>
            </w:r>
          </w:p>
        </w:tc>
        <w:tc>
          <w:tcPr>
            <w:tcW w:type="dxa" w:w="785"/>
          </w:tcPr>
          <w:p>
            <w:r>
              <w:rPr/>
              <w:t>1,2,3,4,6</w:t>
            </w:r>
          </w:p>
        </w:tc>
        <w:tc>
          <w:tcPr>
            <w:tcW w:type="dxa" w:w="785"/>
          </w:tcPr>
          <w:p>
            <w:r>
              <w:rPr/>
              <w:t>5,7</w:t>
            </w:r>
          </w:p>
        </w:tc>
      </w:tr>
      <w:tr>
        <w:tc>
          <w:tcPr>
            <w:tcW w:type="dxa" w:w="785"/>
          </w:tcPr>
          <w:p>
            <w:r>
              <w:rPr/>
              <w:t>Общее фортепиано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rPr/>
              <w:t>1,2,3</w:t>
            </w:r>
          </w:p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rPr>
                <w:b/>
              </w:rPr>
              <w:t>Мелкогрупповые занятия</w:t>
            </w:r>
            <w:r>
              <w:br/>
            </w:r>
            <w:r>
              <w:rPr>
                <w:b/>
              </w:rPr>
              <w:t>(от 2-6 человек)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rPr/>
              <w:t>Ансамбль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0,5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6</w:t>
            </w:r>
          </w:p>
        </w:tc>
        <w:tc>
          <w:tcPr>
            <w:tcW w:type="dxa" w:w="785"/>
          </w:tcPr>
          <w:p>
            <w:r>
              <w:rPr/>
              <w:t>7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Групповые занятия</w:t>
            </w:r>
            <w:r>
              <w:br/>
            </w:r>
            <w:r>
              <w:rPr>
                <w:b/>
              </w:rPr>
              <w:t>(от 11 человек)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rPr/>
              <w:t>Сольфеджио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1,2,3,4,6</w:t>
            </w:r>
          </w:p>
        </w:tc>
        <w:tc>
          <w:tcPr>
            <w:tcW w:type="dxa" w:w="785"/>
          </w:tcPr>
          <w:p>
            <w:r>
              <w:rPr/>
              <w:t>5,7</w:t>
            </w:r>
          </w:p>
        </w:tc>
      </w:tr>
      <w:tr>
        <w:tc>
          <w:tcPr>
            <w:tcW w:type="dxa" w:w="785"/>
          </w:tcPr>
          <w:p>
            <w:r>
              <w:rPr/>
              <w:t>Хор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1,5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1,2,3,4,6</w:t>
            </w:r>
          </w:p>
        </w:tc>
        <w:tc>
          <w:tcPr>
            <w:tcW w:type="dxa" w:w="785"/>
          </w:tcPr>
          <w:p>
            <w:r>
              <w:rPr/>
              <w:t>5,7</w:t>
            </w:r>
          </w:p>
        </w:tc>
      </w:tr>
      <w:tr>
        <w:tc>
          <w:tcPr>
            <w:tcW w:type="dxa" w:w="785"/>
          </w:tcPr>
          <w:p>
            <w:r>
              <w:rPr/>
              <w:t>Слушание музыки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rPr/>
              <w:t>3</w:t>
            </w:r>
          </w:p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rPr/>
              <w:t>Музыкальная литература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>
            <w:r>
              <w:rPr/>
              <w:t>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rPr/>
              <w:t>4,6</w:t>
            </w:r>
          </w:p>
        </w:tc>
        <w:tc>
          <w:tcPr>
            <w:tcW w:type="dxa" w:w="785"/>
          </w:tcPr>
          <w:p>
            <w:r>
              <w:rPr/>
              <w:t>5,7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ИТОГО:</w:t>
            </w:r>
          </w:p>
        </w:tc>
        <w:tc>
          <w:tcPr>
            <w:tcW w:type="dxa" w:w="785"/>
          </w:tcPr>
          <w:p>
            <w:r>
              <w:rPr>
                <w:b/>
              </w:rPr>
              <w:t>4</w:t>
            </w:r>
          </w:p>
        </w:tc>
        <w:tc>
          <w:tcPr>
            <w:tcW w:type="dxa" w:w="785"/>
          </w:tcPr>
          <w:p>
            <w:r>
              <w:rPr>
                <w:b/>
              </w:rPr>
              <w:t>4,5</w:t>
            </w:r>
          </w:p>
        </w:tc>
        <w:tc>
          <w:tcPr>
            <w:tcW w:type="dxa" w:w="785"/>
          </w:tcPr>
          <w:p>
            <w:r>
              <w:rPr>
                <w:b/>
              </w:rPr>
              <w:t>4,5</w:t>
            </w:r>
          </w:p>
        </w:tc>
        <w:tc>
          <w:tcPr>
            <w:tcW w:type="dxa" w:w="785"/>
          </w:tcPr>
          <w:p>
            <w:r>
              <w:rPr>
                <w:b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</w:rPr>
              <w:t>6</w:t>
            </w:r>
          </w:p>
        </w:tc>
        <w:tc>
          <w:tcPr>
            <w:tcW w:type="dxa" w:w="785"/>
          </w:tcPr>
          <w:p>
            <w:r>
              <w:rPr>
                <w:b/>
              </w:rPr>
              <w:t>5,5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pStyle w:val="Heading1"/>
        <w:jc w:val="center"/>
      </w:pPr>
      <w:r>
        <w:rPr>
          <w:b/>
          <w:u w:val="single"/>
        </w:rPr>
        <w:t>График образовательного процесса*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  <w:gridCol w:w="234"/>
      </w:tblGrid>
      <w:tr>
        <w:tc>
          <w:tcPr>
            <w:tcW w:type="dxa" w:w="234"/>
            <w:vMerge w:val="restart"/>
          </w:tcPr>
          <w:p>
            <w:r>
              <w:rPr>
                <w:b/>
              </w:rPr>
              <w:t>Классы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Сентябрь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Октябрь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Ноябрь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Декабрь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Январь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Февраль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Март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Апрель</w:t>
            </w:r>
          </w:p>
        </w:tc>
        <w:tc>
          <w:tcPr>
            <w:tcW w:type="dxa" w:w="936"/>
            <w:gridSpan w:val="4"/>
          </w:tcPr>
          <w:p>
            <w:r>
              <w:rPr>
                <w:b/>
              </w:rPr>
              <w:t>Май</w:t>
            </w:r>
          </w:p>
        </w:tc>
      </w:tr>
      <w:tr>
        <w:tc>
          <w:tcPr>
            <w:tcW w:type="dxa" w:w="234"/>
            <w:vMerge/>
          </w:tcPr>
          <w:p/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1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2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3 нед.</w:t>
            </w:r>
          </w:p>
        </w:tc>
        <w:tc>
          <w:tcPr>
            <w:tcW w:type="dxa" w:w="234"/>
          </w:tcPr>
          <w:p>
            <w:r>
              <w:rPr>
                <w:b/>
              </w:rPr>
              <w:t>4 нед.</w:t>
            </w:r>
          </w:p>
        </w:tc>
      </w:tr>
      <w:tr>
        <w:tc>
          <w:tcPr>
            <w:tcW w:type="dxa" w:w="234"/>
          </w:tcPr>
          <w:p>
            <w:r>
              <w:rPr/>
              <w:t>1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</w:tr>
      <w:tr>
        <w:tc>
          <w:tcPr>
            <w:tcW w:type="dxa" w:w="234"/>
          </w:tcPr>
          <w:p>
            <w:r>
              <w:rPr/>
              <w:t>2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</w:tr>
      <w:tr>
        <w:tc>
          <w:tcPr>
            <w:tcW w:type="dxa" w:w="234"/>
          </w:tcPr>
          <w:p>
            <w:r>
              <w:rPr/>
              <w:t>3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4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5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э/Ш</w:t>
            </w:r>
          </w:p>
        </w:tc>
      </w:tr>
      <w:tr>
        <w:tc>
          <w:tcPr>
            <w:tcW w:type="dxa" w:w="234"/>
          </w:tcPr>
          <w:p>
            <w:r>
              <w:rPr/>
              <w:t>6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7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э/Ш</w:t>
            </w:r>
          </w:p>
        </w:tc>
      </w:tr>
      <w:tr>
        <w:tc>
          <w:tcPr>
            <w:tcW w:type="dxa" w:w="234"/>
          </w:tcPr>
          <w:p>
            <w:r>
              <w:rPr/>
              <w:t>8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э</w:t>
            </w:r>
          </w:p>
        </w:tc>
      </w:tr>
      <w:tr>
        <w:tc>
          <w:tcPr>
            <w:tcW w:type="dxa" w:w="234"/>
          </w:tcPr>
          <w:p>
            <w:r>
              <w:rPr/>
              <w:t>ПОУ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Ш</w:t>
            </w:r>
          </w:p>
        </w:tc>
        <w:tc>
          <w:tcPr>
            <w:tcW w:type="dxa" w:w="234"/>
          </w:tcPr>
          <w:p>
            <w:r>
              <w:rPr/>
              <w:t>э/Ш</w:t>
            </w:r>
          </w:p>
        </w:tc>
      </w:tr>
      <w:tr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</w:t>
            </w:r>
          </w:p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/>
        </w:tc>
        <w:tc>
          <w:tcPr>
            <w:tcW w:type="dxa" w:w="234"/>
          </w:tcPr>
          <w:p>
            <w:r>
              <w:rPr/>
              <w:t>ку/э/Ш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u w:val="single"/>
              </w:rPr>
              <w:t>Аудиторные занятия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u w:val="single"/>
              </w:rPr>
              <w:t>Каникулы</w:t>
            </w:r>
          </w:p>
        </w:tc>
        <w:tc>
          <w:tcPr>
            <w:tcW w:type="dxa" w:w="4320"/>
          </w:tcPr>
          <w:p>
            <w:r>
              <w:rPr/>
              <w:t>к</w:t>
            </w:r>
          </w:p>
        </w:tc>
      </w:tr>
      <w:tr>
        <w:tc>
          <w:tcPr>
            <w:tcW w:type="dxa" w:w="4320"/>
          </w:tcPr>
          <w:p>
            <w:r>
              <w:rPr>
                <w:u w:val="single"/>
              </w:rPr>
              <w:t>Промежуточная аттестация</w:t>
            </w:r>
          </w:p>
        </w:tc>
        <w:tc>
          <w:tcPr>
            <w:tcW w:type="dxa" w:w="4320"/>
          </w:tcPr>
          <w:p>
            <w:r>
              <w:rPr/>
              <w:t>э</w:t>
            </w:r>
          </w:p>
        </w:tc>
      </w:tr>
      <w:tr>
        <w:tc>
          <w:tcPr>
            <w:tcW w:type="dxa" w:w="4320"/>
          </w:tcPr>
          <w:p>
            <w:r>
              <w:rPr>
                <w:u w:val="single"/>
              </w:rPr>
              <w:t>Итоговая аттестация</w:t>
            </w:r>
          </w:p>
        </w:tc>
        <w:tc>
          <w:tcPr>
            <w:tcW w:type="dxa" w:w="4320"/>
          </w:tcPr>
          <w:p>
            <w:r>
              <w:rPr/>
              <w:t>Ш</w:t>
            </w:r>
          </w:p>
        </w:tc>
      </w:tr>
      <w:tr>
        <w:tc>
          <w:tcPr>
            <w:tcW w:type="dxa" w:w="4320"/>
          </w:tcPr>
          <w:p>
            <w:r>
              <w:rPr>
                <w:u w:val="single"/>
              </w:rPr>
              <w:t>Контрольный урок</w:t>
            </w:r>
          </w:p>
        </w:tc>
        <w:tc>
          <w:tcPr>
            <w:tcW w:type="dxa" w:w="4320"/>
          </w:tcPr>
          <w:p>
            <w:r>
              <w:rPr/>
              <w:t>ку</w:t>
            </w:r>
          </w:p>
        </w:tc>
      </w:tr>
    </w:tbl>
    <w:p/>
    <w:p>
      <w:r>
        <w:rPr/>
        <w:t>*График образовательного процесса утверждается Школой ежегодно и публикуется на официальном сайте Школы, а также в местах размещения информации в помещении Школы.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