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w:t>
      </w:r>
    </w:p>
    <w:p>
      <w:r>
        <w:t xml:space="preserve">• </w:t>
      </w:r>
      <w:r>
        <w:rPr/>
        <w:t>Пояснительная записка.</w:t>
      </w:r>
    </w:p>
    <w:p>
      <w:r>
        <w:t xml:space="preserve">• </w:t>
      </w:r>
      <w:r>
        <w:rPr/>
        <w:t>Учебный план.</w:t>
      </w:r>
    </w:p>
    <w:p>
      <w:r>
        <w:t xml:space="preserve">• </w:t>
      </w:r>
      <w:r>
        <w:rPr/>
        <w:t>Организационно-педагогические условия реализации программы.</w:t>
      </w:r>
    </w:p>
    <w:p>
      <w:r>
        <w:t xml:space="preserve">• </w:t>
      </w:r>
      <w:r>
        <w:rPr/>
        <w:t>График образовательного процесса.</w:t>
      </w:r>
    </w:p>
    <w:p>
      <w:r>
        <w:t xml:space="preserve">• </w:t>
      </w:r>
      <w:r>
        <w:rPr/>
        <w:t>Планируемые результаты освоения программы.</w:t>
      </w:r>
    </w:p>
    <w:p>
      <w:r>
        <w:t xml:space="preserve">• </w:t>
      </w:r>
      <w:r>
        <w:rPr/>
        <w:t>Система и критерий оценок промежуточной и итоговой аттестации.</w:t>
      </w:r>
    </w:p>
    <w:p>
      <w:r>
        <w:t xml:space="preserve">• </w:t>
      </w:r>
      <w:r>
        <w:rPr/>
        <w:t>Материально-техническое обеспечение.</w:t>
      </w:r>
    </w:p>
    <w:p>
      <w:r>
        <w:t xml:space="preserve">• </w:t>
      </w:r>
      <w:r>
        <w:rPr/>
        <w:t>Учебно-методическая литература.</w:t>
      </w:r>
    </w:p>
    <w:p>
      <w:pPr>
        <w:pStyle w:val="Heading2"/>
        <w:jc w:val="center"/>
      </w:pPr>
      <w:r>
        <w:rPr>
          <w:b/>
        </w:rPr>
        <w:t>Пояснительная записка</w:t>
      </w:r>
    </w:p>
    <w:p>
      <w:r>
        <w:rPr/>
        <w:t>В соответствии с федеральным образовательным стандартом среднего профессионального образования (ФГОС СПО) практика студентов является обязательным разделом программы подготовки специалистов среднего звена (ППССЗ). Она представляет собой вид учебной деятельности, направленной на формирование, закрепление, развитие практических навыков и компетенций в процессе выполнения определенных видов работ, связанных с будущей профессиональной деятельностью.</w:t>
      </w:r>
    </w:p>
    <w:p>
      <w:r>
        <w:rPr/>
        <w:t>Учебная практика проводится рассредоточено по всему периоду обучения в форме аудиторных занятий, занятий в студии звукозаписи, концертном зале, дополняющих междисциплинарные курсы профессиональных модулей. Учебная практика включает в себя компьютерную аранжировку и инструментоведение.</w:t>
      </w:r>
    </w:p>
    <w:p>
      <w:r>
        <w:rPr/>
        <w:t>Содержание практики – создание в студии звукозаписи аранжировки, обработки, ремикса на заданную тему в изученных стилях:</w:t>
      </w:r>
    </w:p>
    <w:p>
      <w:r>
        <w:t xml:space="preserve">• </w:t>
      </w:r>
      <w:r>
        <w:rPr/>
        <w:t>этно-музыка;</w:t>
      </w:r>
    </w:p>
    <w:p>
      <w:r>
        <w:t xml:space="preserve">• </w:t>
      </w:r>
      <w:r>
        <w:rPr/>
        <w:t>европейская классическая музыка;</w:t>
      </w:r>
    </w:p>
    <w:p>
      <w:r>
        <w:t xml:space="preserve">• </w:t>
      </w:r>
      <w:r>
        <w:rPr/>
        <w:t>джазовые стили;</w:t>
      </w:r>
    </w:p>
    <w:p>
      <w:r>
        <w:t xml:space="preserve">• </w:t>
      </w:r>
      <w:r>
        <w:rPr/>
        <w:t>рок стили;</w:t>
      </w:r>
    </w:p>
    <w:p>
      <w:r>
        <w:t xml:space="preserve">• </w:t>
      </w:r>
      <w:r>
        <w:rPr/>
        <w:t>диско;</w:t>
      </w:r>
    </w:p>
    <w:p>
      <w:r>
        <w:t xml:space="preserve">• </w:t>
      </w:r>
      <w:r>
        <w:rPr/>
        <w:t>рэгги;</w:t>
      </w:r>
    </w:p>
    <w:p>
      <w:r>
        <w:t xml:space="preserve">• </w:t>
      </w:r>
      <w:r>
        <w:rPr/>
        <w:t>электро-поп;</w:t>
      </w:r>
    </w:p>
    <w:p>
      <w:r>
        <w:t xml:space="preserve">• </w:t>
      </w:r>
      <w:r>
        <w:rPr/>
        <w:t>хип-хоп, рэп;</w:t>
      </w:r>
    </w:p>
    <w:p>
      <w:r>
        <w:t xml:space="preserve">• </w:t>
      </w:r>
      <w:r>
        <w:rPr/>
        <w:t>R-n-B;</w:t>
      </w:r>
    </w:p>
    <w:p>
      <w:r>
        <w:t xml:space="preserve">• </w:t>
      </w:r>
      <w:r>
        <w:rPr/>
        <w:t>техно, транс, амбиент;</w:t>
      </w:r>
    </w:p>
    <w:p>
      <w:r>
        <w:t xml:space="preserve">• </w:t>
      </w:r>
      <w:r>
        <w:rPr/>
        <w:t>латино;</w:t>
      </w:r>
    </w:p>
    <w:p>
      <w:r>
        <w:t xml:space="preserve">• </w:t>
      </w:r>
      <w:r>
        <w:rPr/>
        <w:t>авангардная электронная музыка.</w:t>
      </w:r>
    </w:p>
    <w:p>
      <w:pPr>
        <w:pStyle w:val="Heading2"/>
        <w:jc w:val="center"/>
      </w:pPr>
      <w:r>
        <w:rPr>
          <w:b/>
        </w:rPr>
        <w:t>Учебный план</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rPr>
                <w:b/>
              </w:rPr>
              <w:t>№</w:t>
            </w:r>
          </w:p>
        </w:tc>
        <w:tc>
          <w:tcPr>
            <w:tcW w:type="dxa" w:w="1080"/>
            <w:vMerge w:val="restart"/>
          </w:tcPr>
          <w:p>
            <w:r>
              <w:rPr>
                <w:b/>
              </w:rPr>
              <w:t>Наименование предмета</w:t>
            </w:r>
          </w:p>
        </w:tc>
        <w:tc>
          <w:tcPr>
            <w:tcW w:type="dxa" w:w="5400"/>
            <w:gridSpan w:val="5"/>
          </w:tcPr>
          <w:p>
            <w:r>
              <w:rPr>
                <w:b/>
              </w:rPr>
              <w:t>Годы обучения (классы), количество аудиторных часов в неделю</w:t>
            </w:r>
          </w:p>
        </w:tc>
        <w:tc>
          <w:tcPr>
            <w:tcW w:type="dxa" w:w="1080"/>
            <w:vMerge w:val="restart"/>
          </w:tcPr>
          <w:p>
            <w:r>
              <w:rPr>
                <w:b/>
              </w:rPr>
              <w:t>Промежуточная и итоговая аттестация (годы обучения, классы)</w:t>
            </w:r>
          </w:p>
        </w:tc>
      </w:tr>
      <w:tr>
        <w:tc>
          <w:tcPr>
            <w:tcW w:type="dxa" w:w="1080"/>
            <w:vMerge/>
          </w:tcPr>
          <w:p/>
        </w:tc>
        <w:tc>
          <w:tcPr>
            <w:tcW w:type="dxa" w:w="1080"/>
            <w:vMerge/>
          </w:tcPr>
          <w:p/>
        </w:tc>
        <w:tc>
          <w:tcPr>
            <w:tcW w:type="dxa" w:w="1080"/>
          </w:tcPr>
          <w:p>
            <w:r>
              <w:rPr>
                <w:b/>
              </w:rPr>
              <w:t>I</w:t>
            </w:r>
          </w:p>
        </w:tc>
        <w:tc>
          <w:tcPr>
            <w:tcW w:type="dxa" w:w="1080"/>
          </w:tcPr>
          <w:p>
            <w:r>
              <w:rPr>
                <w:b/>
              </w:rPr>
              <w:t>II</w:t>
            </w:r>
          </w:p>
        </w:tc>
        <w:tc>
          <w:tcPr>
            <w:tcW w:type="dxa" w:w="1080"/>
          </w:tcPr>
          <w:p>
            <w:r>
              <w:rPr>
                <w:b/>
              </w:rPr>
              <w:t>III</w:t>
            </w:r>
          </w:p>
        </w:tc>
        <w:tc>
          <w:tcPr>
            <w:tcW w:type="dxa" w:w="1080"/>
          </w:tcPr>
          <w:p>
            <w:r>
              <w:rPr>
                <w:b/>
              </w:rPr>
              <w:t>IV</w:t>
            </w:r>
          </w:p>
        </w:tc>
        <w:tc>
          <w:tcPr>
            <w:tcW w:type="dxa" w:w="1080"/>
          </w:tcPr>
          <w:p>
            <w:r>
              <w:rPr>
                <w:b/>
              </w:rPr>
              <w:t>V</w:t>
            </w:r>
          </w:p>
        </w:tc>
        <w:tc>
          <w:tcPr>
            <w:tcW w:type="dxa" w:w="1080"/>
            <w:vMerge/>
          </w:tcPr>
          <w:p/>
        </w:tc>
      </w:tr>
      <w:tr>
        <w:tc>
          <w:tcPr>
            <w:tcW w:type="dxa" w:w="1080"/>
          </w:tcPr>
          <w:p>
            <w:r>
              <w:rPr/>
              <w:t>1.</w:t>
            </w:r>
          </w:p>
        </w:tc>
        <w:tc>
          <w:tcPr>
            <w:tcW w:type="dxa" w:w="1080"/>
          </w:tcPr>
          <w:p>
            <w:r>
              <w:rPr/>
              <w:t>Компьютерная аранжировка</w:t>
            </w:r>
          </w:p>
        </w:tc>
        <w:tc>
          <w:tcPr>
            <w:tcW w:type="dxa" w:w="1080"/>
          </w:tcPr>
          <w:p>
            <w:r>
              <w:rPr/>
              <w:t>3</w:t>
            </w:r>
          </w:p>
        </w:tc>
        <w:tc>
          <w:tcPr>
            <w:tcW w:type="dxa" w:w="1080"/>
          </w:tcPr>
          <w:p>
            <w:r>
              <w:rPr/>
              <w:t>3</w:t>
            </w:r>
          </w:p>
        </w:tc>
        <w:tc>
          <w:tcPr>
            <w:tcW w:type="dxa" w:w="1080"/>
          </w:tcPr>
          <w:p>
            <w:r>
              <w:rPr/>
              <w:t>3</w:t>
            </w:r>
          </w:p>
        </w:tc>
        <w:tc>
          <w:tcPr>
            <w:tcW w:type="dxa" w:w="1080"/>
          </w:tcPr>
          <w:p>
            <w:r>
              <w:rPr/>
              <w:t>4</w:t>
            </w:r>
          </w:p>
        </w:tc>
        <w:tc>
          <w:tcPr>
            <w:tcW w:type="dxa" w:w="1080"/>
          </w:tcPr>
          <w:p>
            <w:r>
              <w:rPr/>
              <w:t>4</w:t>
            </w:r>
          </w:p>
        </w:tc>
        <w:tc>
          <w:tcPr>
            <w:tcW w:type="dxa" w:w="1080"/>
          </w:tcPr>
          <w:p>
            <w:r>
              <w:rPr/>
              <w:t>I, II, III, IV, V</w:t>
            </w:r>
          </w:p>
        </w:tc>
      </w:tr>
      <w:tr>
        <w:tc>
          <w:tcPr>
            <w:tcW w:type="dxa" w:w="1080"/>
          </w:tcPr>
          <w:p>
            <w:r>
              <w:rPr/>
              <w:t>2.</w:t>
            </w:r>
          </w:p>
        </w:tc>
        <w:tc>
          <w:tcPr>
            <w:tcW w:type="dxa" w:w="1080"/>
          </w:tcPr>
          <w:p>
            <w:r>
              <w:rPr/>
              <w:t>Инструментоведение</w:t>
            </w:r>
          </w:p>
        </w:tc>
        <w:tc>
          <w:tcPr>
            <w:tcW w:type="dxa" w:w="1080"/>
          </w:tcPr>
          <w:p>
            <w:r>
              <w:rPr/>
              <w:t>1</w:t>
            </w:r>
          </w:p>
        </w:tc>
        <w:tc>
          <w:tcPr>
            <w:tcW w:type="dxa" w:w="1080"/>
          </w:tcPr>
          <w:p>
            <w:r>
              <w:rPr/>
              <w:t>1</w:t>
            </w:r>
          </w:p>
        </w:tc>
        <w:tc>
          <w:tcPr>
            <w:tcW w:type="dxa" w:w="1080"/>
          </w:tcPr>
          <w:p>
            <w:r>
              <w:rPr/>
              <w:t>1</w:t>
            </w:r>
          </w:p>
        </w:tc>
        <w:tc>
          <w:tcPr>
            <w:tcW w:type="dxa" w:w="1080"/>
          </w:tcPr>
          <w:p>
            <w:r>
              <w:rPr/>
              <w:t>-</w:t>
            </w:r>
          </w:p>
        </w:tc>
        <w:tc>
          <w:tcPr>
            <w:tcW w:type="dxa" w:w="1080"/>
          </w:tcPr>
          <w:p>
            <w:r>
              <w:rPr/>
              <w:t>-</w:t>
            </w:r>
          </w:p>
        </w:tc>
        <w:tc>
          <w:tcPr>
            <w:tcW w:type="dxa" w:w="1080"/>
          </w:tcPr>
          <w:p>
            <w:r>
              <w:rPr/>
              <w:t>I, II, III, IV, V</w:t>
            </w:r>
          </w:p>
        </w:tc>
      </w:tr>
      <w:tr>
        <w:tc>
          <w:tcPr>
            <w:tcW w:type="dxa" w:w="1080"/>
          </w:tcPr>
          <w:p/>
        </w:tc>
        <w:tc>
          <w:tcPr>
            <w:tcW w:type="dxa" w:w="1080"/>
          </w:tcPr>
          <w:p>
            <w:r>
              <w:rPr>
                <w:b/>
              </w:rPr>
              <w:t>Всего:</w:t>
            </w:r>
          </w:p>
        </w:tc>
        <w:tc>
          <w:tcPr>
            <w:tcW w:type="dxa" w:w="1080"/>
          </w:tcPr>
          <w:p>
            <w:r>
              <w:rPr>
                <w:b/>
              </w:rPr>
              <w:t>4</w:t>
            </w:r>
          </w:p>
        </w:tc>
        <w:tc>
          <w:tcPr>
            <w:tcW w:type="dxa" w:w="1080"/>
          </w:tcPr>
          <w:p>
            <w:r>
              <w:rPr>
                <w:b/>
              </w:rPr>
              <w:t>4</w:t>
            </w:r>
          </w:p>
        </w:tc>
        <w:tc>
          <w:tcPr>
            <w:tcW w:type="dxa" w:w="1080"/>
          </w:tcPr>
          <w:p>
            <w:r>
              <w:rPr>
                <w:b/>
              </w:rPr>
              <w:t>4</w:t>
            </w:r>
          </w:p>
        </w:tc>
        <w:tc>
          <w:tcPr>
            <w:tcW w:type="dxa" w:w="1080"/>
          </w:tcPr>
          <w:p>
            <w:r>
              <w:rPr>
                <w:b/>
              </w:rPr>
              <w:t>4</w:t>
            </w:r>
          </w:p>
        </w:tc>
        <w:tc>
          <w:tcPr>
            <w:tcW w:type="dxa" w:w="1080"/>
          </w:tcPr>
          <w:p>
            <w:r>
              <w:rPr>
                <w:b/>
              </w:rPr>
              <w:t>4</w:t>
            </w:r>
          </w:p>
        </w:tc>
        <w:tc>
          <w:tcPr>
            <w:tcW w:type="dxa" w:w="1080"/>
          </w:tcPr>
          <w:p/>
        </w:tc>
      </w:tr>
    </w:tbl>
    <w:p/>
    <w:p>
      <w:pPr>
        <w:pStyle w:val="Heading2"/>
        <w:jc w:val="center"/>
      </w:pPr>
      <w:r>
        <w:rPr>
          <w:b/>
        </w:rPr>
        <w:t>Организационно-педагогические условия реализации программы</w:t>
      </w:r>
    </w:p>
    <w:p>
      <w:r>
        <w:rPr/>
        <w:t>Срок освоения программы «Студия компьютерной музыки» рассчитан на 5 лет обучения.</w:t>
      </w:r>
    </w:p>
    <w:p>
      <w:r>
        <w:rPr/>
        <w:t>Уровень знаний учащихся, приступающих к освоению программы, должен быть не ниже 3 класса фортепианного отделения детской школы искусств.</w:t>
      </w:r>
    </w:p>
    <w:p>
      <w:r>
        <w:rPr/>
        <w:t>Форма обучения – очная.</w:t>
      </w:r>
    </w:p>
    <w:p>
      <w:r>
        <w:rPr/>
        <w:t>Форма организации образовательной деятельности учащихся – индивидуальная.</w:t>
      </w:r>
    </w:p>
    <w:p>
      <w:r>
        <w:rPr/>
        <w:t>Продолжительность 1 академического часа составляет 40 минут.</w:t>
      </w:r>
    </w:p>
    <w:p>
      <w:pPr>
        <w:pStyle w:val="Heading1"/>
        <w:jc w:val="center"/>
      </w:pPr>
      <w:r>
        <w:rPr>
          <w:b/>
        </w:rPr>
        <w:t>График образовательного процесса</w:t>
      </w:r>
    </w:p>
    <w:p>
      <w:r>
        <w:rPr/>
        <w:t>При реализации программы «Студия компьютерной музыки» с 1 по 5 год обучения продолжительность учебного года составляет 33 недели.</w:t>
      </w:r>
    </w:p>
    <w:p>
      <w:r>
        <w:rPr/>
        <w:t>В учебном году предусматриваются каникулы в объеме не менее 4-х недель. Летние каникулы устанавливаются в объеме 13 недель, за исключением последнего года обучения. Осенние, зимние, весенние каникулы проводятся в сроки, установленные при реализации образовательных программ начального общего и основного общего образования.</w:t>
      </w:r>
    </w:p>
    <w:p>
      <w:pPr>
        <w:pStyle w:val="Heading2"/>
        <w:jc w:val="center"/>
      </w:pPr>
      <w:r>
        <w:rPr>
          <w:b/>
        </w:rPr>
        <w:t>Критерии оценки промежуточной аттестации</w:t>
      </w:r>
    </w:p>
    <w:p>
      <w:r>
        <w:t xml:space="preserve">• </w:t>
      </w:r>
      <w:r>
        <w:rPr/>
        <w:t>грамотное выполнение работ по подготовке звукозаписывающего тракта в соответствии с заданными условиями;</w:t>
      </w:r>
    </w:p>
    <w:p>
      <w:r>
        <w:t xml:space="preserve">• </w:t>
      </w:r>
      <w:r>
        <w:rPr/>
        <w:t>грамотное осуществление записи музыкальной композиции в соответствии с заданными условиями;</w:t>
      </w:r>
    </w:p>
    <w:p>
      <w:r>
        <w:t xml:space="preserve">• </w:t>
      </w:r>
      <w:r>
        <w:rPr/>
        <w:t>грамотное выполнение работ по сведению записанных треков музыкальной композиции в соответствии с заданными условиями, монтажу фонограмм;</w:t>
      </w:r>
    </w:p>
    <w:p>
      <w:r>
        <w:t xml:space="preserve">• </w:t>
      </w:r>
      <w:r>
        <w:rPr/>
        <w:t>четное следование правилам техники безопасности при техническом обслуживании электрооборудования;</w:t>
      </w:r>
    </w:p>
    <w:p>
      <w:r>
        <w:t xml:space="preserve">• </w:t>
      </w:r>
      <w:r>
        <w:rPr/>
        <w:t>правильная коммутация звукового тракта при использовании звукозаписывающей и звуковоспроизводящей аппаратуры;</w:t>
      </w:r>
    </w:p>
    <w:p>
      <w:r>
        <w:t xml:space="preserve">• </w:t>
      </w:r>
      <w:r>
        <w:rPr/>
        <w:t>точная проверка сигналов на входах и выходах всей системы в соответствии со структурной схемой;</w:t>
      </w:r>
    </w:p>
    <w:p>
      <w:r>
        <w:t xml:space="preserve">• </w:t>
      </w:r>
      <w:r>
        <w:rPr/>
        <w:t>правильный выбор звукотехнического оборудования и комплекта акустической системы в соответствии с заданными условиями и задачами: акустические характеристики зала, исполнительский состав;</w:t>
      </w:r>
    </w:p>
    <w:p>
      <w:r>
        <w:t xml:space="preserve">• </w:t>
      </w:r>
      <w:r>
        <w:rPr/>
        <w:t>убедительная демонстрация навыков технического обслуживания усилительной аппаратуры;</w:t>
      </w:r>
    </w:p>
    <w:p>
      <w:r>
        <w:t xml:space="preserve">• </w:t>
      </w:r>
      <w:r>
        <w:rPr/>
        <w:t>рациональное распределение времени на выполнение задания;</w:t>
      </w:r>
    </w:p>
    <w:p>
      <w:r>
        <w:t xml:space="preserve">• </w:t>
      </w:r>
      <w:r>
        <w:rPr/>
        <w:t>обоснованный выбор методов и способов решения профессиональных задач;</w:t>
      </w:r>
    </w:p>
    <w:p>
      <w:r>
        <w:rPr/>
        <w:t>Использование современного программного обеспечения при выполнении практических заданий;</w:t>
      </w:r>
    </w:p>
    <w:p>
      <w:r>
        <w:t xml:space="preserve">• </w:t>
      </w:r>
      <w:r>
        <w:rPr/>
        <w:t>установка и соблюдение оптимальных входных и выходных уровней звукового сигнала;</w:t>
      </w:r>
    </w:p>
    <w:p>
      <w:r>
        <w:t xml:space="preserve">• </w:t>
      </w:r>
      <w:r>
        <w:rPr/>
        <w:t>контроль за комфортными уровнями громкости в контрольных агрегатах и ушных мониторных системах, осуществление баланса, анализ функционирования контрольных индикаторов;</w:t>
      </w:r>
    </w:p>
    <w:p>
      <w:r>
        <w:t xml:space="preserve">• </w:t>
      </w:r>
      <w:r>
        <w:rPr/>
        <w:t>правильный выбор микрофонов для записи вокала с учетом его свойств и характеристик с последующей его установкой и наладкой. Применение микрофонных экранов-фильтров;</w:t>
      </w:r>
    </w:p>
    <w:p>
      <w:r>
        <w:t xml:space="preserve">• </w:t>
      </w:r>
      <w:r>
        <w:rPr/>
        <w:t>организация и правильное проведение поэтапного процесса звукозаписи с практическим применением всех необходимых для этого электротехнических средств и инструментов, с учетом акустических законов и правил.</w:t>
      </w:r>
    </w:p>
    <w:p>
      <w:pPr>
        <w:pStyle w:val="Heading2"/>
        <w:jc w:val="center"/>
      </w:pPr>
      <w:r>
        <w:rPr>
          <w:b/>
        </w:rPr>
        <w:t>Система и критерий оценок промежуточной и итоговой аттестации</w:t>
      </w:r>
    </w:p>
    <w:p>
      <w:r>
        <w:rPr>
          <w:b/>
        </w:rPr>
        <w:t>Форма контроля</w:t>
      </w:r>
      <w:r>
        <w:rPr/>
        <w:t xml:space="preserve"> – дифференцированный зачет.</w:t>
      </w:r>
    </w:p>
    <w:p>
      <w:r>
        <w:rPr>
          <w:b/>
        </w:rPr>
        <w:t>Критерии оценок</w:t>
      </w:r>
      <w:r>
        <w:rPr/>
        <w:t>:</w:t>
      </w:r>
    </w:p>
    <w:p>
      <w:r>
        <w:rPr>
          <w:b/>
        </w:rPr>
        <w:t>Оценка 5 («отлично») – 8-10 баллов –</w:t>
      </w:r>
      <w:r>
        <w:rPr/>
        <w:t xml:space="preserve"> выставляется при соблюдении следующих критериев:</w:t>
      </w:r>
    </w:p>
    <w:p>
      <w:r>
        <w:t xml:space="preserve">• </w:t>
      </w:r>
      <w:r>
        <w:rPr/>
        <w:t>полная посещаемость;</w:t>
      </w:r>
    </w:p>
    <w:p>
      <w:r>
        <w:t xml:space="preserve">• </w:t>
      </w:r>
      <w:r>
        <w:rPr/>
        <w:t>самостоятельное выполнение практических заданий;</w:t>
      </w:r>
    </w:p>
    <w:p>
      <w:r>
        <w:t xml:space="preserve">• </w:t>
      </w:r>
      <w:r>
        <w:rPr/>
        <w:t>отличное владение теоретическим материалом при выполнении задания;</w:t>
      </w:r>
    </w:p>
    <w:p>
      <w:r>
        <w:t xml:space="preserve">• </w:t>
      </w:r>
      <w:r>
        <w:rPr/>
        <w:t>уверенная демонстрация практических навыков на всех этапах выполнения задания по видам практик;</w:t>
      </w:r>
    </w:p>
    <w:p>
      <w:r>
        <w:t xml:space="preserve">• </w:t>
      </w:r>
      <w:r>
        <w:rPr/>
        <w:t>своевременное выполнение поставленной задачи;</w:t>
      </w:r>
    </w:p>
    <w:p>
      <w:r>
        <w:t xml:space="preserve">• </w:t>
      </w:r>
      <w:r>
        <w:rPr/>
        <w:t>коммуникативный подход при выполнении практического задания и владение понятийным аппаратом.</w:t>
      </w:r>
    </w:p>
    <w:p>
      <w:r>
        <w:rPr>
          <w:b/>
        </w:rPr>
        <w:t>Оценка 4 («хорошо») – 5-7 баллов –</w:t>
      </w:r>
      <w:r>
        <w:rPr/>
        <w:t xml:space="preserve"> выставляется при соблюдении следующих критериев:</w:t>
      </w:r>
    </w:p>
    <w:p>
      <w:r>
        <w:t xml:space="preserve">• </w:t>
      </w:r>
      <w:r>
        <w:rPr/>
        <w:t>выполнение практических заданий частично самостоятельно;</w:t>
      </w:r>
    </w:p>
    <w:p>
      <w:r>
        <w:t xml:space="preserve">• </w:t>
      </w:r>
      <w:r>
        <w:rPr/>
        <w:t>хорошее владение теоретическим материалом при выполнении задания;</w:t>
      </w:r>
    </w:p>
    <w:p>
      <w:r>
        <w:t xml:space="preserve">• </w:t>
      </w:r>
      <w:r>
        <w:rPr/>
        <w:t>уверенная демонстрация практических навыков на всех этапах выполнения задания;</w:t>
      </w:r>
    </w:p>
    <w:p>
      <w:r>
        <w:t xml:space="preserve">• </w:t>
      </w:r>
      <w:r>
        <w:rPr/>
        <w:t>своевременное выполнение поставленной задачи;</w:t>
      </w:r>
    </w:p>
    <w:p>
      <w:r>
        <w:t xml:space="preserve">• </w:t>
      </w:r>
      <w:r>
        <w:rPr/>
        <w:t>коммуникативный подход при выполнении практического задания и владение понятийным аппаратом на среднем уровне.</w:t>
      </w:r>
    </w:p>
    <w:p>
      <w:r>
        <w:rPr>
          <w:b/>
        </w:rPr>
        <w:t>Оценка 3 («удовлетворительно») – 3-4 балла –</w:t>
      </w:r>
      <w:r>
        <w:rPr/>
        <w:t xml:space="preserve"> выставляется при соблюдении следующих критериев:</w:t>
      </w:r>
    </w:p>
    <w:p>
      <w:r>
        <w:t xml:space="preserve">• </w:t>
      </w:r>
      <w:r>
        <w:rPr/>
        <w:t>неполное выполнение практических заданий;</w:t>
      </w:r>
    </w:p>
    <w:p>
      <w:r>
        <w:t xml:space="preserve">• </w:t>
      </w:r>
      <w:r>
        <w:rPr/>
        <w:t>неуверенное владение теоретическим материалом при выполнении задания;</w:t>
      </w:r>
    </w:p>
    <w:p>
      <w:r>
        <w:t xml:space="preserve">• </w:t>
      </w:r>
      <w:r>
        <w:rPr/>
        <w:t>неуверенная демонстрация практических навыков на всех этапах выполнения задания;</w:t>
      </w:r>
    </w:p>
    <w:p>
      <w:r>
        <w:t xml:space="preserve">• </w:t>
      </w:r>
      <w:r>
        <w:rPr/>
        <w:t>несвоевременное выполнение поставленной задачи;</w:t>
      </w:r>
    </w:p>
    <w:p>
      <w:r>
        <w:t xml:space="preserve">• </w:t>
      </w:r>
      <w:r>
        <w:rPr/>
        <w:t>коммуникативный подход при выполнении практического задания и владение понятийным аппаратом практически отсутствует.</w:t>
      </w:r>
    </w:p>
    <w:p>
      <w:pPr>
        <w:pStyle w:val="Heading2"/>
        <w:jc w:val="center"/>
      </w:pPr>
      <w:r>
        <w:rPr>
          <w:b/>
        </w:rPr>
        <w:t>Материально-техническое обеспечение</w:t>
      </w:r>
    </w:p>
    <w:p>
      <w:r>
        <w:rPr/>
        <w:t>Каждый обучающийся обеспечивается доступом к библиотечным фондам школьной библиотеки. Библиотечный фонд укомплектован учебно-методической и нотной литературой. Во время самостоятельной работы обучающиеся могут пользоваться Интернетом для сбора дополнительного материала по изучению предложенных тем.</w:t>
      </w:r>
    </w:p>
    <w:p>
      <w:pPr>
        <w:pStyle w:val="Heading2"/>
        <w:jc w:val="center"/>
      </w:pPr>
      <w:r>
        <w:rPr>
          <w:b/>
        </w:rPr>
        <w:t>Учебно-методическая литература</w:t>
      </w:r>
    </w:p>
    <w:p>
      <w:r>
        <w:rPr/>
        <w:t>Основные источники:</w:t>
      </w:r>
    </w:p>
    <w:p>
      <w:r>
        <w:t xml:space="preserve">1. </w:t>
      </w:r>
      <w:r>
        <w:rPr/>
        <w:t>И.Алдошина, Р.Приттс. Музыкальная акустика. Учебник. – СПб.: Композитор Санкт-Петербург, 2014</w:t>
      </w:r>
    </w:p>
    <w:p>
      <w:r>
        <w:t xml:space="preserve">2. </w:t>
      </w:r>
      <w:r>
        <w:rPr/>
        <w:t>Динов В.Г. Звуковая картина. Записки о звукорежиссуре: Учебное пособие. – СПб.: «Лань», «Планета музыки», 2012</w:t>
      </w:r>
    </w:p>
    <w:p>
      <w:r>
        <w:t xml:space="preserve">3. </w:t>
      </w:r>
      <w:r>
        <w:rPr/>
        <w:t>Андерсен А.В., Овсянкина Г.П., Шитикова Р.Г. Современная музыкально-компьютерная технология. Учебное пособие. – СПб.: «Лань», «Планета музыки», 2013</w:t>
      </w:r>
    </w:p>
    <w:p>
      <w:r>
        <w:t xml:space="preserve">4. </w:t>
      </w:r>
      <w:r>
        <w:rPr/>
        <w:t>Садкова О.В. Словарь терминов музыкальной акустики и психоакустики: Учебное пособие. – Н.Новгород, издательство ННГК им.Глинки, 2012</w:t>
      </w:r>
    </w:p>
    <w:p>
      <w:r>
        <w:rPr/>
        <w:t>Дополнительные источники:</w:t>
      </w:r>
    </w:p>
    <w:p>
      <w:r>
        <w:t xml:space="preserve">1. </w:t>
      </w:r>
      <w:r>
        <w:rPr/>
        <w:t>Белунцов В. Компьютер для музыканта: Самоучитель. – СПб.: Питер, 2001</w:t>
      </w:r>
    </w:p>
    <w:p>
      <w:r>
        <w:t xml:space="preserve">2. </w:t>
      </w:r>
      <w:r>
        <w:rPr/>
        <w:t>Воройский Ф.С. Информатика. Новый систематизированный толковый словарь-справочник. – 2-е изд., перераб. и доп. – М.: Либерия, 2001</w:t>
      </w:r>
    </w:p>
    <w:p>
      <w:r>
        <w:t xml:space="preserve">3. </w:t>
      </w:r>
      <w:r>
        <w:rPr/>
        <w:t>Белунцов В. Музыкальные возможности компьютера. – СПб.: Питер, 2000</w:t>
      </w:r>
    </w:p>
    <w:p>
      <w:r>
        <w:t xml:space="preserve">4. </w:t>
      </w:r>
      <w:r>
        <w:rPr/>
        <w:t>Шомер М.И. Я люблю коллекционировать музыку на ПК. – М.: Только для взрослых, 2004</w:t>
      </w:r>
    </w:p>
    <w:p>
      <w:r>
        <w:t xml:space="preserve">5. </w:t>
      </w:r>
      <w:r>
        <w:rPr/>
        <w:t>Кузнецов Л.А. Акустика музыкальных инструментов: справочник. – М.: Легпромиздат, 2011</w:t>
      </w:r>
    </w:p>
    <w:p>
      <w:r>
        <w:t xml:space="preserve">6. </w:t>
      </w:r>
      <w:r>
        <w:rPr/>
        <w:t>Борисов А.В. Энциклопедия обработки звука на персональном компьютере. – М.: ЗАО «Новый издательский дом», 2014</w:t>
      </w:r>
    </w:p>
    <w:p>
      <w:r>
        <w:t xml:space="preserve">7. </w:t>
      </w:r>
      <w:r>
        <w:rPr/>
        <w:t>Петелин Р.Ю. Сочинение и аранжировка музыки на компьютере. – СПб.: БВХ – Петербург, 2012</w:t>
      </w:r>
    </w:p>
    <w:p>
      <w:r>
        <w:t xml:space="preserve">8. </w:t>
      </w:r>
      <w:r>
        <w:rPr/>
        <w:t>Петелин Р.Ю., Петелин Ю.В. Cubase SX. Секреты мастерства. – СПб.: БВХ – Петербург, 2013</w:t>
      </w:r>
    </w:p>
    <w:p>
      <w:r>
        <w:t xml:space="preserve">9. </w:t>
      </w:r>
      <w:r>
        <w:rPr/>
        <w:t>Петелин Р.Ю., Петелин Ю.В. Steinberg Cubase 5. Запись и редактирование музыки. – СПб.: БВХ – Петербург, 2010</w:t>
      </w:r>
    </w:p>
    <w:p>
      <w:r>
        <w:t xml:space="preserve">10. </w:t>
      </w:r>
      <w:r>
        <w:rPr/>
        <w:t>Звукозапись для «чайников». Пер. с англ. – М.: Издательский дом «Вильяме», 2015</w:t>
      </w:r>
    </w:p>
    <w:p>
      <w:r>
        <w:t xml:space="preserve">11. </w:t>
      </w:r>
      <w:r>
        <w:rPr/>
        <w:t>Живой звук. РА для концертирующих музыкантов. Пер. с англ. – М.: Шоу-Мастер, 2012</w:t>
      </w:r>
    </w:p>
    <w:p>
      <w:r>
        <w:t xml:space="preserve">12. </w:t>
      </w:r>
      <w:r>
        <w:rPr/>
        <w:t>Кирн Питер. Цифровой звук. Реальный мир. Пер. с англ. – М.: ООО «И.Д.Вильямс», 2011</w:t>
      </w:r>
    </w:p>
    <w:p>
      <w:r>
        <w:t xml:space="preserve">13. </w:t>
      </w:r>
      <w:r>
        <w:rPr/>
        <w:t>Лебедев С., Трубинов П. Русская книга о «Finale». Учебник по компьютерному набору нот. – СПб., 2012</w:t>
      </w:r>
    </w:p>
    <w:p>
      <w:r>
        <w:t xml:space="preserve">14. </w:t>
      </w:r>
      <w:r>
        <w:rPr/>
        <w:t>Лебедев С., Трубинов П. Прибавление к русской книге о «Finale». – СПб, 2009</w:t>
      </w:r>
    </w:p>
    <w:p>
      <w:r>
        <w:t xml:space="preserve">15. </w:t>
      </w:r>
      <w:r>
        <w:rPr/>
        <w:t>Пол Уайт «Творческая звукозапись». – М.: «Музыкальная литература», 2002</w:t>
      </w:r>
    </w:p>
    <w:p>
      <w:r>
        <w:t xml:space="preserve">16. </w:t>
      </w:r>
      <w:r>
        <w:rPr/>
        <w:t>Дэвид Гибсон «Искусство сведения». – М., «Мастер-медиа», 2005</w:t>
      </w:r>
    </w:p>
    <w:p>
      <w:r>
        <w:t xml:space="preserve">17. </w:t>
      </w:r>
      <w:r>
        <w:rPr/>
        <w:t>Агеев С. «Микрофоны». – М.: «Мастер-медиа», 2004</w:t>
      </w:r>
    </w:p>
    <w:p>
      <w:r>
        <w:rPr/>
        <w:t>Интернет ресурсы:</w:t>
      </w:r>
    </w:p>
    <w:p>
      <w:r>
        <w:t xml:space="preserve">1. </w:t>
      </w:r>
      <w:r>
        <w:rPr/>
        <w:t>«Лань» - электронно-библиотечная система</w:t>
      </w:r>
    </w:p>
    <w:p>
      <w:r>
        <w:t xml:space="preserve">2. </w:t>
      </w:r>
      <w:r>
        <w:rPr/>
        <w:t>«Юрайт» - электронно-библиотечная система</w:t>
      </w:r>
    </w:p>
    <w:p>
      <w:r>
        <w:t xml:space="preserve">3. </w:t>
      </w:r>
      <w:r>
        <w:rPr/>
        <w:t>www.soundonsound.com</w:t>
      </w:r>
    </w:p>
    <w:p>
      <w:r>
        <w:t xml:space="preserve">4. </w:t>
      </w:r>
      <w:r>
        <w:rPr/>
        <w:t>www.rmmedia.ru</w:t>
      </w:r>
    </w:p>
    <w:p>
      <w:r>
        <w:t xml:space="preserve">5. </w:t>
      </w:r>
      <w:r>
        <w:rPr/>
        <w:t>www.gearslutz.com</w:t>
      </w:r>
    </w:p>
    <w:p>
      <w:r>
        <w:t xml:space="preserve">6. </w:t>
      </w:r>
      <w:r>
        <w:rPr/>
        <w:t>www.unisonrecords.org</w:t>
      </w:r>
    </w:p>
    <w:p>
      <w:r>
        <w:t xml:space="preserve">7. </w:t>
      </w:r>
      <w:r>
        <w:rPr/>
        <w:t>www.cambridge-mt.com</w:t>
      </w:r>
    </w:p>
    <w:p>
      <w:r>
        <w:t xml:space="preserve">8. </w:t>
      </w:r>
      <w:r>
        <w:rPr/>
        <w:t>www.gup.ru</w:t>
      </w:r>
    </w:p>
    <w:p>
      <w:r>
        <w:t xml:space="preserve">9. </w:t>
      </w:r>
      <w:r>
        <w:rPr/>
        <w:t>www.gukit.ru</w:t>
      </w:r>
    </w:p>
    <w:p>
      <w:r>
        <w:t xml:space="preserve">10. </w:t>
      </w:r>
      <w:r>
        <w:rPr/>
        <w:t>www.musckld.org</w:t>
      </w:r>
    </w:p>
    <w:p>
      <w:r>
        <w:t xml:space="preserve">11. </w:t>
      </w:r>
      <w:r>
        <w:rPr/>
        <w:t>www.neumann.com</w:t>
      </w:r>
    </w:p>
    <w:p>
      <w:r>
        <w:t xml:space="preserve">12. </w:t>
      </w:r>
      <w:r>
        <w:rPr/>
        <w:t>www.waves.com</w:t>
      </w:r>
    </w:p>
    <w:p>
      <w:r>
        <w:t xml:space="preserve">13. </w:t>
      </w:r>
      <w:r>
        <w:rPr/>
        <w:t>www.avid.com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