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Подключение внешнего клиента к MCP Gateway</w:t>
      </w:r>
    </w:p>
    <w:p>
      <w:pPr>
        <w:spacing w:after="130"/>
      </w:pPr>
      <w:r>
        <w:t xml:space="preserve">Документ состоит из двух частей: </w:t>
      </w:r>
      <w:r>
        <w:rPr>
          <w:b/>
          <w:bCs/>
        </w:rPr>
        <w:t xml:space="preserve">Часть I</w:t>
      </w:r>
      <w:r>
        <w:t xml:space="preserve"> — для интегратора внешней системы (вендора), </w:t>
      </w:r>
      <w:r>
        <w:rPr>
          <w:b/>
          <w:bCs/>
        </w:rPr>
        <w:t xml:space="preserve">Часть II</w:t>
      </w:r>
      <w:r>
        <w:t xml:space="preserve"> — для администратора ИБ, который заводит этот доступ. Составлено на основе документа разработчика.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Вендору передаётся только Часть I.</w:t>
      </w:r>
      <w:r>
        <w:t xml:space="preserve"> Часть II содержит внутренние детали стенда — имена служебных скриптов и команды к контейнерам. Для отправки наружу используйте отдельную выгрузку клиентской части (только Часть I этого документа).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Часть I. Для интегратора внешней системы</w:t>
      </w:r>
    </w:p>
    <w:p>
      <w:pPr>
        <w:spacing w:after="130"/>
      </w:pPr>
      <w:r>
        <w:rPr>
          <w:b/>
          <w:bCs/>
        </w:rPr>
        <w:t xml:space="preserve">Кому:</w:t>
      </w:r>
      <w:r>
        <w:t xml:space="preserve"> интегратору внешней агентской системы, которому служба информационной безопасности заказчика выдала доступ к платформе через MCP.</w:t>
      </w:r>
    </w:p>
    <w:p>
      <w:pPr>
        <w:spacing w:after="130"/>
      </w:pPr>
      <w:r>
        <w:rPr>
          <w:b/>
          <w:bCs/>
        </w:rPr>
        <w:t xml:space="preserve">Что это.</w:t>
      </w:r>
      <w:r>
        <w:t xml:space="preserve"> Платформа отдаёт свои инструменты — поиск по каталогу, запросы к данным, документы — как </w:t>
      </w:r>
      <w:r>
        <w:rPr>
          <w:b/>
          <w:bCs/>
        </w:rPr>
        <w:t xml:space="preserve">MCP-сервер</w:t>
      </w:r>
      <w:r>
        <w:t xml:space="preserve">. Ваш агент или LLM-хост подключается к нему по стандартному MCP поверх HTTP и вызывает разрешённые вам инструменты.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Данные режутся по вашей персоне</w:t>
      </w:r>
      <w:r>
        <w:t xml:space="preserve"> — по доменам и правам на строки. Вы видите только то, что вам выделено, независимо от того, какой запрос отправили.</w:t>
      </w:r>
    </w:p>
    <w:p>
      <w:pPr>
        <w:pStyle w:val="Heading2"/>
        <w:spacing w:after="110" w:before="220"/>
      </w:pPr>
      <w:r>
        <w:t xml:space="preserve">1. Что вам выдаёт администратор ИБ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Пояснение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URL шлюза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Например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https://&lt;gateway&gt;</w:t>
            </w:r>
            <w:r>
              <w:t xml:space="preserve"> — тот же хост, что и для completions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client_id</w:t>
            </w:r>
            <w:r>
              <w:t xml:space="preserve"> и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client_secret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Выдаются один раз при одобрении заявки (dual-control). Хранить как пароль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Разрешённый namespace (aud)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data__</w:t>
            </w:r>
            <w:r>
              <w:t xml:space="preserve"> — инструменты данных (запросы, каталог) и/или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om__</w:t>
            </w:r>
            <w:r>
              <w:t xml:space="preserve">. Токен привязан к одному namespace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Домены и коллекции персоны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 всегда сообщаются явно. Определяют, к каким данным будет доступ</w:t>
            </w:r>
          </w:p>
        </w:tc>
      </w:tr>
    </w:tbl>
    <w:p>
      <w:pPr>
        <w:spacing w:after="100"/>
      </w:pP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Набор инструментов задаёт ИБ по вашей персоне.</w:t>
      </w:r>
      <w:r>
        <w:t xml:space="preserve"> В ответе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придут только разрешённые — по умолчанию не выдаётся ничего. Если список пуст, это не ошибка подключения (см. §4).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`client_secret` выдаётся один раз.</w:t>
      </w:r>
      <w:r>
        <w:t xml:space="preserve"> Повторно его не покажут — при утере потребуется ротация через ИБ. Храните секрет как пароль: в защищённом хранилище, не в репозитории и не в конфигурации, попадающей в логи.</w:t>
      </w:r>
    </w:p>
    <w:p>
      <w:pPr>
        <w:pStyle w:val="Heading2"/>
        <w:spacing w:after="110" w:before="220"/>
      </w:pPr>
      <w:r>
        <w:t xml:space="preserve">2. Получение токена</w:t>
      </w:r>
    </w:p>
    <w:p>
      <w:pPr>
        <w:spacing w:after="130"/>
      </w:pPr>
      <w:r>
        <w:t xml:space="preserve">OAuth 2.0, grant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client_credentials</w:t>
      </w:r>
      <w:r>
        <w:t xml:space="preserve"> с указанием ресурса (RFC 8707):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curl -s -X POST https://&lt;gateway&gt;/oauth/token \</w:t>
      </w:r>
    </w:p>
    <w:p>
      <w:pPr>
        <w:spacing w:after="130"/>
      </w:pPr>
      <w:r>
        <w:t xml:space="preserve">  -d grant_type=client_credentials \</w:t>
      </w:r>
    </w:p>
    <w:p>
      <w:pPr>
        <w:spacing w:after="130"/>
      </w:pPr>
      <w:r>
        <w:t xml:space="preserve">  -d client_id=&lt;client_id&gt; \</w:t>
      </w:r>
    </w:p>
    <w:p>
      <w:pPr>
        <w:spacing w:after="130"/>
      </w:pPr>
      <w:r>
        <w:t xml:space="preserve">  -d client_secret=&lt;client_secret&gt; \</w:t>
      </w:r>
    </w:p>
    <w:p>
      <w:pPr>
        <w:spacing w:after="130"/>
      </w:pPr>
      <w:r>
        <w:t xml:space="preserve">  -d resource=data__ # запрашиваемый namespace (aud); один из разрешённых вам</w:t>
      </w:r>
    </w:p>
    <w:p>
      <w:pPr>
        <w:pStyle w:val="Title"/>
        <w:spacing w:after="200"/>
      </w:pPr>
      <w:r>
        <w:t xml:space="preserve">→ { "access_token": "pii_ses_...", "token_type": "Bearer", "expires_in": 900 }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Время жизни токена: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</w:t>
      </w:r>
      <w:r>
        <w:t xml:space="preserve"> — 900 секунд, остальные namespace — 1800. По истечении запросите токен заново; кэшируйте его до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expires_in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Один токен — один namespace.</w:t>
      </w:r>
      <w:r>
        <w:t xml:space="preserve"> Нужен доступ и к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</w:t>
      </w:r>
      <w:r>
        <w:t xml:space="preserve">, и к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om__</w:t>
      </w:r>
      <w:r>
        <w:t xml:space="preserve"> — берите два токена и используйте каждый со своим набором инструментов.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Аутентификация клиента: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client_secret_post</w:t>
      </w:r>
      <w:r>
        <w:t xml:space="preserve"> (как в примере выше) либо заголовок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Authorization: Basic base64(client_id:client_secret)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Автонастройка:</w:t>
      </w:r>
      <w:r>
        <w:t xml:space="preserve"> если ваш MCP-клиент умеет OAuth-дискавери, используйте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GET https://&lt;gateway&gt;/.well-known/oauth-authorization-server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/.well-known/oauth-protected-resource</w:t>
      </w:r>
      <w:r>
        <w:t xml:space="preserve">.</w:t>
      </w:r>
    </w:p>
    <w:p>
      <w:pPr>
        <w:pStyle w:val="Heading2"/>
        <w:spacing w:after="110" w:before="220"/>
      </w:pPr>
      <w:r>
        <w:t xml:space="preserve">3. Подключение MCP-клиента</w:t>
      </w:r>
    </w:p>
    <w:p>
      <w:pPr>
        <w:spacing w:after="130"/>
      </w:pPr>
      <w:r>
        <w:t xml:space="preserve">Транспорт — </w:t>
      </w:r>
      <w:r>
        <w:rPr>
          <w:b/>
          <w:bCs/>
        </w:rPr>
        <w:t xml:space="preserve">Streamable HTTP</w:t>
      </w:r>
      <w:r>
        <w:t xml:space="preserve">, эндпоинт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/mcp</w:t>
      </w:r>
      <w:r>
        <w:t xml:space="preserve">, авторизация — заголовок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Authorization: Bearer &lt;access_token&gt;</w:t>
      </w:r>
      <w:r>
        <w:t xml:space="preserve">.</w:t>
      </w:r>
    </w:p>
    <w:p>
      <w:pPr>
        <w:spacing w:after="130"/>
      </w:pPr>
      <w:r>
        <w:rPr>
          <w:b/>
          <w:bCs/>
        </w:rPr>
        <w:t xml:space="preserve">Конфигурация типового MCP-клиента: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json {   "mcpServers": {     "synapse": {       "type": "streamable-http",       "url": "https://&lt;gateway&gt;/mcp",       "headers": { "Authorization": "Bearer pii_ses_..." }     }   } }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spacing w:after="130"/>
      </w:pPr>
      <w:r>
        <w:rPr>
          <w:b/>
          <w:bCs/>
        </w:rPr>
        <w:t xml:space="preserve">Проверка вручную (JSON-RPC поверх HTTP).</w:t>
      </w:r>
      <w:r>
        <w:t xml:space="preserve"> Список доступных вам инструментов: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TOKEN=pii_ses_... curl -s https://&lt;gateway&gt;/mcp -H "Authorization: Bearer $TOKEN" \</w:t>
      </w:r>
    </w:p>
    <w:p>
      <w:pPr>
        <w:spacing w:after="130"/>
      </w:pPr>
      <w:r>
        <w:t xml:space="preserve">  -H 'Content-Type: application/json' \</w:t>
      </w:r>
    </w:p>
    <w:p>
      <w:pPr>
        <w:spacing w:after="130"/>
      </w:pPr>
      <w:r>
        <w:t xml:space="preserve">  -H 'Accept: application/json, text/event-stream' \</w:t>
      </w:r>
    </w:p>
    <w:p>
      <w:pPr>
        <w:spacing w:after="130"/>
      </w:pPr>
      <w:r>
        <w:t xml:space="preserve">  -d '{"jsonrpc":"2.0","id":1,"method":"tools/list"}'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spacing w:after="130"/>
      </w:pPr>
      <w:r>
        <w:t xml:space="preserve">Вызов инструмента — на примере запроса к данным на естественном языке: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curl -s https://&lt;gateway&gt;/mcp -H "Authorization: Bearer $TOKEN" \</w:t>
      </w:r>
    </w:p>
    <w:p>
      <w:pPr>
        <w:spacing w:after="130"/>
      </w:pPr>
      <w:r>
        <w:t xml:space="preserve">  -H 'Content-Type: application/json' \</w:t>
      </w:r>
    </w:p>
    <w:p>
      <w:pPr>
        <w:spacing w:after="130"/>
      </w:pPr>
      <w:r>
        <w:t xml:space="preserve">  -H 'Accept: application/json, text/event-stream' \</w:t>
      </w:r>
    </w:p>
    <w:p>
      <w:pPr>
        <w:spacing w:after="130"/>
      </w:pPr>
      <w:r>
        <w:t xml:space="preserve">  -d '{"jsonrpc":"2.0","id":2,"method":"tools/call",        "params":{"name":"data__query_data",        "arguments":{"question":"сколько сделок за июль"}}}'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Имя инструмента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tools/call</w:t>
      </w:r>
      <w:r>
        <w:t xml:space="preserve"> берите из ответа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— оно уже включает ваш namespace, например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data__query_data</w:t>
      </w:r>
      <w:r>
        <w:t xml:space="preserve"> или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data__run_sql_query</w:t>
      </w:r>
      <w:r>
        <w:t xml:space="preserve">. Инструмент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run_sql_query</w:t>
      </w:r>
      <w:r>
        <w:t xml:space="preserve"> возвращает только строки, разрешённые вашей персоне.</w:t>
      </w:r>
    </w:p>
    <w:p>
      <w:pPr>
        <w:pStyle w:val="Heading2"/>
        <w:spacing w:after="110" w:before="220"/>
      </w:pPr>
      <w:r>
        <w:t xml:space="preserve">4. Ошибки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invalid_client</w:t>
            </w:r>
            <w:r>
              <w:t xml:space="preserve"> на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/oauth/token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Неверный секрет, клиент не активен или истёк период ротации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 учётные данные; при ротации — обновить секрет в течение grace-окна (36 часов)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invalid_target</w:t>
            </w:r>
            <w:r>
              <w:t xml:space="preserve"> при вызове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 выдан под другой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aud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Получить токен с нужным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resource=&lt;namespace&gt;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access_denied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Клиент отозван либо сбой резолвера — режим fail-closed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Обратиться в службу ИБ заказчика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Пустой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tools/list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Персоне не назначены инструменты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Запросить у ИБ видимость нужных инструментов</w:t>
            </w:r>
          </w:p>
        </w:tc>
      </w:tr>
    </w:tbl>
    <w:p>
      <w:pPr>
        <w:spacing w:after="100"/>
      </w:pPr>
    </w:p>
    <w:p>
      <w:pPr>
        <w:pStyle w:val="Heading2"/>
        <w:spacing w:after="110" w:before="220"/>
      </w:pPr>
      <w:r>
        <w:t xml:space="preserve">5. Жизненный цикл доступа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Ротация секрета</w:t>
      </w:r>
      <w:r>
        <w:t xml:space="preserve"> — по инициативе ИБ. Новый секрет активен сразу, старый продолжает работать </w:t>
      </w:r>
      <w:r>
        <w:rPr>
          <w:b/>
          <w:bCs/>
        </w:rPr>
        <w:t xml:space="preserve">36 часов</w:t>
      </w:r>
      <w:r>
        <w:t xml:space="preserve">. За это время нужно обновить конфигурацию.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Отзыв доступа</w:t>
      </w:r>
      <w:r>
        <w:t xml:space="preserve"> — немедленно для новых токенов; уже выданный токен перестаёт работать в пределах 30 секунд.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Планируйте обработку ротации заранее.</w:t>
      </w:r>
      <w:r>
        <w:t xml:space="preserve"> Если секрет зашит в конфигурацию, которую нельзя обновить за 36 часов, интеграция остановится. Предусмотрите чтение секрета из хранилища без пересборки и повторное получение токена при ответе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invalid_client</w:t>
      </w:r>
      <w:r>
        <w:t xml:space="preserve">.</w:t>
      </w:r>
    </w:p>
    <w:p>
      <w:pPr>
        <w:pStyle w:val="Heading2"/>
        <w:spacing w:after="110" w:before="220"/>
      </w:pPr>
      <w:r>
        <w:t xml:space="preserve">6. Чеклист подключения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Получены URL шлюза,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client_id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client_secret</w:t>
      </w:r>
      <w:r>
        <w:t xml:space="preserve"> и список разрешённых namespace.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Секрет положен в защищённое хранилище, не в репозиторий.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Токен получен на нужный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resource</w:t>
      </w:r>
      <w:r>
        <w:t xml:space="preserve">; при необходимости получены два токена.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Реализовано кэширование токена до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expires_in</w:t>
      </w:r>
      <w:r>
        <w:t xml:space="preserve"> и повторное получение по истечении.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возвращает непустой список — состав соответствует согласованному с ИБ.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Пробный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tools/call</w:t>
      </w:r>
      <w:r>
        <w:t xml:space="preserve"> выполнен успешно.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Предусмотрено обновление секрета в течение 36-часового окна ротации.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Обработаны ответы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invalid_client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invalid_target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access_denied</w:t>
      </w:r>
      <w:r>
        <w:t xml:space="preserve">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Часть II. Для администратора ИБ — заведение доступа</w:t>
      </w:r>
    </w:p>
    <w:p>
      <w:pPr>
        <w:spacing w:after="130"/>
      </w:pPr>
      <w:r>
        <w:t xml:space="preserve">*Внутренний раздел — не передавать вендору.*</w:t>
      </w:r>
    </w:p>
    <w:p>
      <w:pPr>
        <w:spacing w:after="130"/>
      </w:pPr>
      <w:r>
        <w:rPr>
          <w:b/>
          <w:bCs/>
        </w:rPr>
        <w:t xml:space="preserve">Кому:</w:t>
      </w:r>
      <w:r>
        <w:t xml:space="preserve"> администратору ИБ, который заводит внешнему вендору доступ к MCP. Порядок: сначала предпосылки в OpenMetadata — без них токен не выпустится или список инструментов придёт пустым, — затем регистрация клиента в рабочем месте ИБ, затем проверка.</w:t>
      </w:r>
    </w:p>
    <w:p>
      <w:pPr>
        <w:pStyle w:val="Heading2"/>
        <w:spacing w:after="110" w:before="220"/>
      </w:pPr>
      <w:r>
        <w:t xml:space="preserve">Как это устроено</w:t>
      </w:r>
    </w:p>
    <w:p>
      <w:pPr>
        <w:spacing w:after="130"/>
      </w:pPr>
      <w:r>
        <w:t xml:space="preserve">Ключ вендора маппится на </w:t>
      </w:r>
      <w:r>
        <w:rPr>
          <w:b/>
          <w:bCs/>
        </w:rPr>
        <w:t xml:space="preserve">одну org-scoped персону</w:t>
      </w:r>
      <w:r>
        <w:t xml:space="preserve"> OM и на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om_user_email</w:t>
      </w:r>
      <w:r>
        <w:t xml:space="preserve"> — учётную запись, которую нужно имперсонировать. При выдаче токена pii-shield имперсонирует этого пользователя через OM (persona-select-service), и в токен зашиваются домены и RLS-фильтры персоны. Данные режутся так же, как обычному пользователю; набор инструментов определяется видимостью персоны в реестре инструментов.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Различие между внутренним и внешним потребителем — только в ключе. Никакого отдельного контура для вендора нет: всё разграничение делает персона.</w:t>
      </w:r>
    </w:p>
    <w:p>
      <w:pPr>
        <w:pStyle w:val="Heading2"/>
        <w:spacing w:after="110" w:before="220"/>
      </w:pPr>
      <w:r>
        <w:t xml:space="preserve">Шаг 1. Регистрация клиента (dual-control)</w:t>
      </w:r>
    </w:p>
    <w:p>
      <w:pPr>
        <w:spacing w:after="130"/>
      </w:pPr>
      <w:r>
        <w:rPr>
          <w:b/>
          <w:bCs/>
        </w:rPr>
        <w:t xml:space="preserve">Рабочее место ИБ → Внешние агентские системы → «+ Заявка».</w:t>
      </w:r>
    </w:p>
    <w:p>
      <w:pPr>
        <w:spacing w:after="130"/>
      </w:pPr>
      <w:r>
        <w:t xml:space="preserve">Поля: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указывать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Вендор, Назначение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Свободный текст — нужен для аудита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Персона (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persona_id</w:t>
            </w:r>
            <w:r>
              <w:t xml:space="preserve">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Граница доступа: домены и RLS. Список тянется из персон OM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om_user_email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Кого имперсонировать. Выпадающий список пользователей OM, боты первыми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Ресурсы (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resources</w:t>
            </w:r>
            <w:r>
              <w:t xml:space="preserve">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Namespace aud: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data__</w:t>
            </w:r>
            <w:r>
              <w:t xml:space="preserve"> (запросы, каталог) и/или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om__</w:t>
            </w:r>
            <w:r>
              <w:t xml:space="preserve">. Токен привязан к </w:t>
            </w:r>
            <w:r>
              <w:rPr>
                <w:b/>
                <w:bCs/>
              </w:rPr>
              <w:t xml:space="preserve">одному</w:t>
            </w:r>
            <w:r>
              <w:t xml:space="preserve"> namespace на выдачу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Домены, Scopes, Владелец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Необязательные поля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Требуется маскировка ПДн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Флажок, по умолчанию </w:t>
            </w:r>
            <w:r>
              <w:rPr>
                <w:b/>
                <w:bCs/>
              </w:rPr>
              <w:t xml:space="preserve">включён</w:t>
            </w:r>
            <w:r>
              <w:t xml:space="preserve">. Определяет, приходят ли клиенту обезличенные данные</w:t>
            </w:r>
          </w:p>
        </w:tc>
      </w:tr>
    </w:tbl>
    <w:p>
      <w:pPr>
        <w:spacing w:after="100"/>
      </w:pPr>
    </w:p>
    <w:p>
      <w:pPr>
        <w:pStyle w:val="Heading3"/>
        <w:spacing w:after="90" w:before="160"/>
      </w:pPr>
      <w:r>
        <w:t xml:space="preserve">Флажок «Требуется маскировка ПДн»</w:t>
      </w:r>
    </w:p>
    <w:p>
      <w:pPr>
        <w:spacing w:after="130"/>
      </w:pPr>
      <w:r>
        <w:t xml:space="preserve">Тот же признак, что и флаг у провайдера модели, но заданный на уровне клиента. По умолчанию включён — в общем случае так и оставляйте.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получает клиент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Когда уместно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Включён (по умолчанию)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Инструменты возвращают обезличенные данные — вместо реальных значений плейсхолдеры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Всегда, если нет причин для обратного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Снят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Инструменты возвращают реальные персональные данные; маскировка происходит позже, на выходе к модели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для доверенного клиента, чей путь к модели идёт через платформу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Зачем это нужно.</w:t>
      </w:r>
      <w:r>
        <w:t xml:space="preserve"> Если у клиента два независимых подключения — например, в n8n отдельная LLM-нода и отдельный MCP-клиент, — то маска, наложенная при вызове инструмента, не раскроется в ответе модели: это разные сессии обезличивания, и пользователь увидит в результате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[PERSON_1]</w:t>
      </w:r>
      <w:r>
        <w:t xml:space="preserve"> вместо значения. Снятие флажка устраняет проблему, потому что обезличивание переносится на единственный выход к модели.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Не снимайте флажок, если модель клиента вызывается мимо платформы.</w:t>
      </w:r>
      <w:r>
        <w:t xml:space="preserve"> В этом случае инструменты отдадут реальные персональные данные, и они уйдут во внешнюю модель без обезличивания. Прежде чем снять флажок, убедитесь, что путь клиента к модели проходит через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/completions</w:t>
      </w:r>
      <w:r>
        <w:t xml:space="preserve"> платформы, и зафиксируйте это решение в назначении заявки.</w:t>
      </w:r>
    </w:p>
    <w:p>
      <w:pPr>
        <w:spacing w:after="130"/>
      </w:pPr>
      <w:r>
        <w:t xml:space="preserve">После сохранения заявка получает статус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Администратор ИБ открывает карточку и нажимает «Одобрить». Генерируется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client_secret</w:t>
      </w:r>
      <w:r>
        <w:t xml:space="preserve">: в реестре хранится PBKDF2-хеш, открытое значение показывается один раз.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Статус меняется на </w:t>
      </w:r>
      <w:r>
        <w:rPr>
          <w:b/>
          <w:bCs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Передайте вендору защищённым каналом: URL шлюза,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client_id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client_secret</w:t>
      </w:r>
      <w:r>
        <w:t xml:space="preserve"> и разрешённый namespace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aud</w:t>
      </w:r>
      <w:r>
        <w:t xml:space="preserve">. Дальше вендор действует по Части I.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Открытый секрет показывается один раз.</w:t>
      </w:r>
      <w:r>
        <w:t xml:space="preserve"> Если карточку закрыли, не скопировав значение, потребуется ротация. Готовьте защищённый канал передачи до того, как нажмёте «Одобрить».</w:t>
      </w:r>
    </w:p>
    <w:p>
      <w:pPr>
        <w:pStyle w:val="Heading2"/>
        <w:spacing w:after="110" w:before="220"/>
      </w:pPr>
      <w:r>
        <w:t xml:space="preserve">Шаг 2. Проверка перед передачей вендору</w:t>
      </w:r>
    </w:p>
    <w:p>
      <w:pPr>
        <w:spacing w:after="130"/>
      </w:pPr>
      <w:r>
        <w:rPr>
          <w:b/>
          <w:bCs/>
        </w:rPr>
        <w:t xml:space="preserve">а) Имперсонация выпускает токен</w:t>
      </w:r>
      <w:r>
        <w:t xml:space="preserve"> — ожидаем HTTP 200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accessToken</w:t>
      </w:r>
      <w:r>
        <w:t xml:space="preserve">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docker exec &lt;om&gt; curl -s -X POST \   http://localhost:8585/api/v1/users/persona-select-service \</w:t>
      </w:r>
    </w:p>
    <w:p>
      <w:pPr>
        <w:spacing w:after="130"/>
      </w:pPr>
      <w:r>
        <w:t xml:space="preserve">  -H "Authorization: Bearer &lt;impersonation-bot&gt;" \</w:t>
      </w:r>
    </w:p>
    <w:p>
      <w:pPr>
        <w:spacing w:after="130"/>
      </w:pPr>
      <w:r>
        <w:t xml:space="preserve">  -H "Content-Type: application/json" \</w:t>
      </w:r>
    </w:p>
    <w:p>
      <w:pPr>
        <w:spacing w:after="130"/>
      </w:pPr>
      <w:r>
        <w:t xml:space="preserve">  -w "HTTP %{http_code}" \</w:t>
      </w:r>
    </w:p>
    <w:p>
      <w:pPr>
        <w:spacing w:after="130"/>
      </w:pPr>
      <w:r>
        <w:t xml:space="preserve">  -d '{"userEmail":"&lt;om_user_email&gt;","personaId":"&lt;persona_id&gt;"}'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spacing w:after="130"/>
      </w:pPr>
      <w:r>
        <w:rPr>
          <w:b/>
          <w:bCs/>
        </w:rPr>
        <w:t xml:space="preserve">б)</w:t>
      </w:r>
      <w:r>
        <w:t xml:space="preserve"> проверка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tools/call</w:t>
      </w:r>
      <w:r>
        <w:t xml:space="preserve"> под выданным токеном (см. Часть I, §3).</w:t>
      </w:r>
    </w:p>
    <w:p>
      <w:pPr>
        <w:spacing w:after="130"/>
      </w:pPr>
      <w:r>
        <w:t xml:space="preserve">Ожидаемый результат: в пункте (а) — HTTP 200; в пункте (б) — непустой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, все инструменты в namespace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</w:t>
      </w:r>
      <w:r>
        <w:t xml:space="preserve">, и успешный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tools/call</w:t>
      </w:r>
      <w:r>
        <w:t xml:space="preserve">.</w:t>
      </w:r>
    </w:p>
    <w:p>
      <w:pPr>
        <w:pStyle w:val="Heading2"/>
        <w:spacing w:after="110" w:before="220"/>
      </w:pPr>
      <w:r>
        <w:t xml:space="preserve">Шаг 0. Возможные ошибки</w:t>
      </w:r>
    </w:p>
    <w:p>
      <w:pPr>
        <w:spacing w:after="130"/>
      </w:pPr>
      <w:r>
        <w:t xml:space="preserve">*(Диагностика ниже ссылается на эти пункты как 0.1–0.3.)*</w:t>
      </w:r>
    </w:p>
    <w:p>
      <w:pPr>
        <w:pStyle w:val="Heading3"/>
        <w:spacing w:after="90" w:before="160"/>
      </w:pPr>
      <w:r>
        <w:t xml:space="preserve">0.1. Учётная запись `om_user_email` существует, и ей назначена персона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Симптомы:</w:t>
      </w:r>
      <w:r>
        <w:t xml:space="preserve"> несуществующий адрес → 404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user not found</w:t>
      </w:r>
      <w:r>
        <w:t xml:space="preserve">; персона не назначена → 400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PERSONA_NOT_ASSIGNED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Проверка: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GET /api/v1/users?fields=personas</w:t>
      </w:r>
      <w:r>
        <w:t xml:space="preserve"> — у нужного пользователя персона должна быть в списке.</w:t>
      </w:r>
    </w:p>
    <w:p>
      <w:pPr>
        <w:pStyle w:val="Heading3"/>
        <w:spacing w:after="90" w:before="160"/>
      </w:pPr>
      <w:r>
        <w:t xml:space="preserve">0.2. Бот имперсонации имеет флаги `isBot` и `allowImpersonation`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Речь о боте из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OM_SERVICE_TOKEN</w:t>
      </w:r>
      <w:r>
        <w:t xml:space="preserve"> сервиса pii-shield.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Симптом:</w:t>
      </w:r>
      <w:r>
        <w:t xml:space="preserve"> persona-select-service отвечает 403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requires a bot with allowImpersonation=true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Фикс (одноразовый):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PATCH /api/v1/users/&lt;bot_id&gt;</w:t>
      </w:r>
      <w:r>
        <w:t xml:space="preserve"> с json-patch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add /allowImpersonation=true</w:t>
      </w:r>
      <w:r>
        <w:t xml:space="preserve">; добавьте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/isAdmin=true</w:t>
      </w:r>
      <w:r>
        <w:t xml:space="preserve">, если тот же бот правит типы.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На стендах с LDAP этот пункт может конфликтовать с настройками платформенного бота — проверьте его флаги до правки.</w:t>
      </w:r>
    </w:p>
    <w:p>
      <w:pPr>
        <w:pStyle w:val="Heading3"/>
        <w:spacing w:after="90" w:before="160"/>
      </w:pPr>
      <w:r>
        <w:t xml:space="preserve">0.3. Персоне клиента проставлена видимость нужных инструментов данных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Симптом: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пустой.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Мета-инструменты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list_personas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select_persona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security_alert</w:t>
      </w:r>
      <w:r>
        <w:t xml:space="preserve">) внешнему клиенту скрыты намеренно.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Инструменты данных вида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data__run_sql_query</w:t>
      </w:r>
      <w:r>
        <w:t xml:space="preserve"> отдаются, только если персона входит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personas_allowed</w:t>
      </w:r>
      <w:r>
        <w:t xml:space="preserve"> инструмента </w:t>
      </w:r>
      <w:r>
        <w:rPr>
          <w:b/>
          <w:bCs/>
        </w:rPr>
        <w:t xml:space="preserve">и</w:t>
      </w:r>
      <w:r>
        <w:t xml:space="preserve"> у инструмента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review_state = reviewed</w:t>
      </w:r>
      <w:r>
        <w:t xml:space="preserve">. Режим fail-closed.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Где настроить:</w:t>
      </w:r>
      <w:r>
        <w:t xml:space="preserve"> Рабочее место ИБ → Политики инструментов — отметить нужные инструменты для персоны клиента.</w:t>
      </w:r>
    </w:p>
    <w:p>
      <w:pPr>
        <w:pStyle w:val="Heading2"/>
        <w:spacing w:after="110" w:before="220"/>
      </w:pPr>
      <w:r>
        <w:t xml:space="preserve">Диагностика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404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user ... not found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Неверный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om_user_email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См. §0.1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400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PERSONA_NOT_ASSIGNED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Персона не назначена пользователю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См. §0.1 — назначить персону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403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requires a bot with allowImpersonation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 бота нет нужного флага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См. §0.2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tools/list</w:t>
            </w:r>
            <w:r>
              <w:t xml:space="preserve"> пуст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Персона без видимости инструментов данных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См. §0.3 — политики инструментов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invalid_target</w:t>
            </w:r>
            <w:r>
              <w:t xml:space="preserve"> при вызове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 выдан под другой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aud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Взять токен с нужным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resource=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access_denied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Клиент отозван либо резолвер недоступен (fail-closed)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 статус клиента в карточке</w:t>
            </w:r>
          </w:p>
        </w:tc>
      </w:tr>
    </w:tbl>
    <w:p>
      <w:pPr>
        <w:spacing w:after="100"/>
      </w:pPr>
    </w:p>
    <w:p>
      <w:pPr>
        <w:pStyle w:val="Heading2"/>
        <w:spacing w:after="110" w:before="220"/>
      </w:pPr>
      <w:r>
        <w:t xml:space="preserve">Чеклист заведения клиента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Поле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dataAccessPolicy</w:t>
      </w:r>
      <w:r>
        <w:t xml:space="preserve"> зарегистрировано для типов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user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persona</w:t>
      </w:r>
      <w:r>
        <w:t xml:space="preserve"> (после последнего ре-бутстрапа OM тоже).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Учётная запись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om_user_email</w:t>
      </w:r>
      <w:r>
        <w:t xml:space="preserve"> существует, нужная персона ей назначена.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У бота имперсонации выставлены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isBot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allowImpersonation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Персоне клиента отмечены нужные инструменты данных в политиках инструментов.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Заявка заведена, поля вендора и назначения заполнены для аудита.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Защищённый канал передачи готов </w:t>
      </w:r>
      <w:r>
        <w:rPr>
          <w:b/>
          <w:bCs/>
        </w:rPr>
        <w:t xml:space="preserve">до</w:t>
      </w:r>
      <w:r>
        <w:t xml:space="preserve"> нажатия «Одобрить».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Проверка (а) вернула HTTP 200, проверка (б) — непустой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tools/list</w:t>
      </w:r>
      <w:r>
        <w:t xml:space="preserve"> и успешный вызов.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Вендору передана только клиентская часть документа (Часть I).</w:t>
      </w:r>
    </w:p>
    <w:p>
      <w:pPr>
        <w:spacing w:after="130"/>
      </w:pPr>
      <w:r>
        <w:t xml:space="preserve">Ротация секрета и отзыв доступа выполняются в карточке клиента; порядок действий вендора при этом описан в Части I, §5.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См. также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instrukciya-domeny-i-dostup.md</w:t>
      </w:r>
      <w:r>
        <w:t xml:space="preserve"> — как персона/домен вообще связывается с пользователем на платформе; здесь эта же персона используется как граница доступа для внешнего MCP-клиента.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instrukciya-rls-nastroika-prav.md</w:t>
      </w:r>
      <w:r>
        <w:t xml:space="preserve"> — построчный/поколоночный доступ, который зашивается в токен клиента через персону (row_filters, masked_columns).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administrirovanie-polzovateli.md</w:t>
      </w:r>
      <w:r>
        <w:t xml:space="preserve"> — общее описание раздела «Рабочее место ИБ», в котором находится экран «Внешние агентские системы» из Части II.</w:t>
      </w:r>
    </w:p>
    <w:p>
      <w:pPr>
        <w:spacing w:after="130"/>
      </w:pPr>
      <w:r>
        <w:rPr>
          <w:b/>
          <w:bCs/>
        </w:rPr>
        <w:t xml:space="preserve">Примечание к источнику.</w:t>
      </w:r>
      <w:r>
        <w:t xml:space="preserve"> В исходном документе раздел «Возможные ошибки» встречался дважды — под сквозной нумерацией 1–3 и под нумерацией 0.1–0.3, с одинаковым содержанием; здесь оставлена одна версия (0.1–0.3), и ссылки в разделе «Диагностика» приведены в соответствие с ней (в оригинале там встречались отсылки к несуществующему пункту 0.4).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2026-09-05T07:44:07.934Z</dcterms:created>
  <dcterms:modified xsi:type="dcterms:W3CDTF">2026-09-05T07:44:07.949Z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