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Скоуп проекта Д8 (Кейс 2 методики) — рабочий разбор и вопросы к заказчику</w:t>
      </w:r>
    </w:p>
    <w:p>
      <w:r>
        <w:rPr>
          <w:b/>
        </w:rPr>
        <w:t>Контекст:</w:t>
      </w:r>
      <w:r>
        <w:t xml:space="preserve"> применение методики внедрения (</w:t>
      </w:r>
      <w:r>
        <w:rPr>
          <w:rFonts w:ascii="Consolas" w:hAnsi="Consolas"/>
          <w:sz w:val="20"/>
        </w:rPr>
        <w:t>docs/metodika-vnedreniya.md</w:t>
      </w:r>
      <w:r>
        <w:t>, Кейс 2 — Проект) к конкретному кандидату — АО «Инвестиционная компания Д8», единственному клиенту в базе, реально прошедшему пилот достаточно далеко, чтобы обсуждать масштабирование. Ниже — то, что уже известно из пилотного ТЗ и разбора мастер-ТЗ, что подтвердил заказчик в этой сессии, черновая карта волн проекта, и открытые вопросы, которые нужно закрыть до фазы П2 («Целевая архитектура и волны роллаута»).</w:t>
      </w:r>
    </w:p>
    <w:p>
      <w:r>
        <w:t>---</w:t>
      </w:r>
    </w:p>
    <w:p>
      <w:pPr>
        <w:pStyle w:val="Heading2"/>
      </w:pPr>
      <w:r>
        <w:t>Главные тезисы</w:t>
      </w:r>
    </w:p>
    <w:p>
      <w:r>
        <w:t xml:space="preserve">- </w:t>
      </w:r>
      <w:r>
        <w:rPr>
          <w:b/>
        </w:rPr>
        <w:t>Скоуп пилота остаётся полностью</w:t>
      </w:r>
      <w:r>
        <w:t xml:space="preserve"> — КХД, ESB/CRM Bitrix24 и MCP-сервер никуда не выводятся. </w:t>
      </w:r>
      <w:r>
        <w:rPr>
          <w:b/>
        </w:rPr>
        <w:t>Расширяются только ESB и КХД</w:t>
      </w:r>
      <w:r>
        <w:t xml:space="preserve"> (больше витрин и API, возможно шире периметр хранилища); «RAG-компании» исключён из скоупа как опечатка/дублирующее название (§1–2).</w:t>
      </w:r>
    </w:p>
    <w:p>
      <w:r>
        <w:t xml:space="preserve">- </w:t>
      </w:r>
      <w:r>
        <w:rPr>
          <w:b/>
        </w:rPr>
        <w:t>Волны 1 и 2 подтверждены по порядку, но не по содержанию.</w:t>
      </w:r>
      <w:r>
        <w:t xml:space="preserve"> Заказчик задал последовательность (сначала RAG-документы, потом КХД/ESB), но формулировка волны 1 допускает три разных толкования, а точный состав волны 2 (какие витрины/API) не назван. Волна 3+ полностью открыта — «уточнить какие дальше» (§3).</w:t>
      </w:r>
    </w:p>
    <w:p>
      <w:r>
        <w:t xml:space="preserve">- </w:t>
      </w:r>
      <w:r>
        <w:rPr>
          <w:b/>
        </w:rPr>
        <w:t>Без 4 параметров по каждой волне трудоёмкость не оценить</w:t>
      </w:r>
      <w:r>
        <w:t>: состав данных, количество витрин/коллекций, количество пользователей, количество ролей. Это не опция, а условие для старта фазы П2 — детальный чек-лист и рабочий шаблон сбора данных см. в §3.</w:t>
      </w:r>
    </w:p>
    <w:p>
      <w:r>
        <w:t xml:space="preserve">- </w:t>
      </w:r>
      <w:r>
        <w:rPr>
          <w:b/>
        </w:rPr>
        <w:t>Из 11 пунктов реестра платформенных пожеланий Д8 нужно ответить только по 4</w:t>
      </w:r>
      <w:r>
        <w:t xml:space="preserve"> («требуется от Д8») — остальные 7 либо уже в плане платформы на конкретный квартал, либо решаются внутри команды без участия заказчика (§4).</w:t>
      </w:r>
    </w:p>
    <w:p>
      <w:r>
        <w:t xml:space="preserve">- </w:t>
      </w:r>
      <w:r>
        <w:rPr>
          <w:b/>
        </w:rPr>
        <w:t>К заказчику — 15 вопросов и 6 наших предложений</w:t>
      </w:r>
      <w:r>
        <w:t xml:space="preserve"> с рабочей позицией по умолчанию (проще поправить готовое предложение, чем отвечать с нуля) — §5–6.</w:t>
      </w:r>
    </w:p>
    <w:p>
      <w:r>
        <w:t xml:space="preserve">- </w:t>
      </w:r>
      <w:r>
        <w:rPr>
          <w:b/>
        </w:rPr>
        <w:t>Критично закрыть звонком, не перепиской:</w:t>
      </w:r>
      <w:r>
        <w:t xml:space="preserve"> точное толкование волны 1 (три варианта слишком разные по объёму работ) — предложение 1 в §6.</w:t>
      </w:r>
    </w:p>
    <w:p>
      <w:r>
        <w:t xml:space="preserve">- </w:t>
      </w:r>
      <w:r>
        <w:rPr>
          <w:b/>
        </w:rPr>
        <w:t>Пилот формально не прошёл все пороги приёмки</w:t>
      </w:r>
      <w:r>
        <w:t xml:space="preserve"> (Сценарий 6: 67,4%/70%, Сценарий 4: 87,5%/95%, </w:t>
      </w:r>
      <w:r>
        <w:rPr>
          <w:rFonts w:ascii="Consolas" w:hAnsi="Consolas"/>
          <w:sz w:val="20"/>
        </w:rPr>
        <w:t>case-21</w:t>
      </w:r>
      <w:r>
        <w:t>) — предлагаем не ждать дозакрытия, а перенести оба пункта в список долга бизнес-кейса П1 (предложение 6, §6, вопрос 15).</w:t>
      </w:r>
    </w:p>
    <w:p>
      <w:r>
        <w:t xml:space="preserve">- </w:t>
      </w:r>
      <w:r>
        <w:rPr>
          <w:b/>
        </w:rPr>
        <w:t>Архитектура пилота задокументирована отдельно</w:t>
      </w:r>
      <w:r>
        <w:t xml:space="preserve"> (см. ниже) как факт-базис для сравнения с проектным расширением — не проектный скоуп.</w:t>
      </w:r>
    </w:p>
    <w:p>
      <w:r>
        <w:t>---</w:t>
      </w:r>
    </w:p>
    <w:p>
      <w:pPr>
        <w:pStyle w:val="Heading2"/>
      </w:pPr>
      <w:r>
        <w:t>1. Что уже известно (из пилотного ТЗ и мастер-ТЗ)</w:t>
      </w:r>
    </w:p>
    <w:p>
      <w:pPr>
        <w:pStyle w:val="Heading3"/>
      </w:pPr>
      <w:r>
        <w:t>Скоуп пилота (для сравнения)</w:t>
      </w:r>
    </w:p>
    <w:p>
      <w:r>
        <w:t>3 источника данных (КХД, CRM Bitrix24 через ESB, MCP-сервер), 2 согласованные роли из «до 5 в перспективе», 2 коллекции документов, до 20 пилотных пользователей.</w:t>
      </w:r>
    </w:p>
    <w:p>
      <w:r>
        <w:t>Пилотное ТЗ изначально называло и четвёртый источник — «RAG-компании» — как отдельный пункт с открытым статусом (</w:t>
      </w:r>
      <w:r>
        <w:rPr>
          <w:rFonts w:ascii="Consolas" w:hAnsi="Consolas"/>
          <w:sz w:val="20"/>
        </w:rPr>
        <w:t>case-03-pilot-tz-ai-guard.md:29,83</w:t>
      </w:r>
      <w:r>
        <w:t xml:space="preserve">: «не до конца ясно, идёт ли речь о самостоятельном RAG-продукте Д8... или это просто дублирующее название той же платформы»). </w:t>
      </w:r>
      <w:r>
        <w:rPr>
          <w:b/>
        </w:rPr>
        <w:t>Резолюция 14.09.2026:</w:t>
      </w:r>
      <w:r>
        <w:t xml:space="preserve"> заказчик считает это, скорее всего, опечаткой/дублирующим названием, не отдельной системой — убрано из скоупа как самостоятельный источник (подробнее — §2).</w:t>
      </w:r>
    </w:p>
    <w:p>
      <w:pPr>
        <w:pStyle w:val="Heading3"/>
      </w:pPr>
      <w:r>
        <w:t>Полный ландшафт по мастер-ТЗ (</w:t>
      </w:r>
      <w:r>
        <w:rPr>
          <w:rFonts w:ascii="Consolas" w:hAnsi="Consolas"/>
          <w:sz w:val="20"/>
        </w:rPr>
        <w:t>docs/sources/tz-rag-investment.pdf</w:t>
      </w:r>
      <w:r>
        <w:t>, §1.2–1.3) — шире пилота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Источник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Критичность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Подключение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В пилоте?</w:t>
            </w:r>
          </w:p>
        </w:tc>
      </w:tr>
      <w:tr>
        <w:tc>
          <w:tcPr>
            <w:tcW w:type="dxa" w:w="2160"/>
          </w:tcPr>
          <w:p>
            <w:r>
              <w:t>CRM Bitrix24</w:t>
            </w:r>
          </w:p>
        </w:tc>
        <w:tc>
          <w:tcPr>
            <w:tcW w:type="dxa" w:w="2160"/>
          </w:tcPr>
          <w:p>
            <w:r>
              <w:t>Критический</w:t>
            </w:r>
          </w:p>
        </w:tc>
        <w:tc>
          <w:tcPr>
            <w:tcW w:type="dxa" w:w="2160"/>
          </w:tcPr>
          <w:p>
            <w:r>
              <w:t>REST API/Webhook</w:t>
            </w:r>
          </w:p>
        </w:tc>
        <w:tc>
          <w:tcPr>
            <w:tcW w:type="dxa" w:w="2160"/>
          </w:tcPr>
          <w:p>
            <w:r>
              <w:t>Да (через ESB)</w:t>
            </w:r>
          </w:p>
        </w:tc>
      </w:tr>
      <w:tr>
        <w:tc>
          <w:tcPr>
            <w:tcW w:type="dxa" w:w="2160"/>
          </w:tcPr>
          <w:p>
            <w:r>
              <w:t>Excel/CSV (портфели, AUM/AUC, P&amp;L, сделки, отчёты)</w:t>
            </w:r>
          </w:p>
        </w:tc>
        <w:tc>
          <w:tcPr>
            <w:tcW w:type="dxa" w:w="2160"/>
          </w:tcPr>
          <w:p>
            <w:r>
              <w:t>Критический</w:t>
            </w:r>
          </w:p>
        </w:tc>
        <w:tc>
          <w:tcPr>
            <w:tcW w:type="dxa" w:w="2160"/>
          </w:tcPr>
          <w:p>
            <w:r>
              <w:t>SMB</w:t>
            </w:r>
          </w:p>
        </w:tc>
        <w:tc>
          <w:tcPr>
            <w:tcW w:type="dxa" w:w="2160"/>
          </w:tcPr>
          <w:p>
            <w:r>
              <w:t>Не подтверждено</w:t>
            </w:r>
          </w:p>
        </w:tc>
      </w:tr>
      <w:tr>
        <w:tc>
          <w:tcPr>
            <w:tcW w:type="dxa" w:w="2160"/>
          </w:tcPr>
          <w:p>
            <w:r>
              <w:t>Word/PDF (декларации, договоры ДУ, меморандумы, регламенты)</w:t>
            </w:r>
          </w:p>
        </w:tc>
        <w:tc>
          <w:tcPr>
            <w:tcW w:type="dxa" w:w="2160"/>
          </w:tcPr>
          <w:p>
            <w:r>
              <w:t>Высокий</w:t>
            </w:r>
          </w:p>
        </w:tc>
        <w:tc>
          <w:tcPr>
            <w:tcW w:type="dxa" w:w="2160"/>
          </w:tcPr>
          <w:p>
            <w:r>
              <w:t>SMB</w:t>
            </w:r>
          </w:p>
        </w:tc>
        <w:tc>
          <w:tcPr>
            <w:tcW w:type="dxa" w:w="2160"/>
          </w:tcPr>
          <w:p>
            <w:r>
              <w:t>Не подтверждено</w:t>
            </w:r>
          </w:p>
        </w:tc>
      </w:tr>
      <w:tr>
        <w:tc>
          <w:tcPr>
            <w:tcW w:type="dxa" w:w="2160"/>
          </w:tcPr>
          <w:p>
            <w:r>
              <w:t>Email (входящие/исходящие)</w:t>
            </w:r>
          </w:p>
        </w:tc>
        <w:tc>
          <w:tcPr>
            <w:tcW w:type="dxa" w:w="2160"/>
          </w:tcPr>
          <w:p>
            <w:r>
              <w:t>Низкий</w:t>
            </w:r>
          </w:p>
        </w:tc>
        <w:tc>
          <w:tcPr>
            <w:tcW w:type="dxa" w:w="2160"/>
          </w:tcPr>
          <w:p>
            <w:r>
              <w:t>IMAP/MS Graph API</w:t>
            </w:r>
          </w:p>
        </w:tc>
        <w:tc>
          <w:tcPr>
            <w:tcW w:type="dxa" w:w="2160"/>
          </w:tcPr>
          <w:p>
            <w:r>
              <w:t>Нет — Must Have в ТЗ, но 0 тест-кейсов TC-EMAIL</w:t>
            </w:r>
          </w:p>
        </w:tc>
      </w:tr>
      <w:tr>
        <w:tc>
          <w:tcPr>
            <w:tcW w:type="dxa" w:w="2160"/>
          </w:tcPr>
          <w:p>
            <w:r>
              <w:t>Внутренние регламенты (compliance)</w:t>
            </w:r>
          </w:p>
        </w:tc>
        <w:tc>
          <w:tcPr>
            <w:tcW w:type="dxa" w:w="2160"/>
          </w:tcPr>
          <w:p>
            <w:r>
              <w:t>Средний</w:t>
            </w:r>
          </w:p>
        </w:tc>
        <w:tc>
          <w:tcPr>
            <w:tcW w:type="dxa" w:w="2160"/>
          </w:tcPr>
          <w:p>
            <w:r>
              <w:t>Word/PDF папка</w:t>
            </w:r>
          </w:p>
        </w:tc>
        <w:tc>
          <w:tcPr>
            <w:tcW w:type="dxa" w:w="2160"/>
          </w:tcPr>
          <w:p>
            <w:r>
              <w:t>Не подтверждено</w:t>
            </w:r>
          </w:p>
        </w:tc>
      </w:tr>
      <w:tr>
        <w:tc>
          <w:tcPr>
            <w:tcW w:type="dxa" w:w="2160"/>
          </w:tcPr>
          <w:p>
            <w:r>
              <w:t>Back office (сделки, документы)</w:t>
            </w:r>
          </w:p>
        </w:tc>
        <w:tc>
          <w:tcPr>
            <w:tcW w:type="dxa" w:w="2160"/>
          </w:tcPr>
          <w:p>
            <w:r>
              <w:t>Критический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Не подтверждено</w:t>
            </w:r>
          </w:p>
        </w:tc>
      </w:tr>
      <w:tr>
        <w:tc>
          <w:tcPr>
            <w:tcW w:type="dxa" w:w="2160"/>
          </w:tcPr>
          <w:p>
            <w:r>
              <w:t>Confluence (база знаний)</w:t>
            </w:r>
          </w:p>
        </w:tc>
        <w:tc>
          <w:tcPr>
            <w:tcW w:type="dxa" w:w="2160"/>
          </w:tcPr>
          <w:p>
            <w:r>
              <w:t>Высокий</w:t>
            </w:r>
          </w:p>
        </w:tc>
        <w:tc>
          <w:tcPr>
            <w:tcW w:type="dxa" w:w="2160"/>
          </w:tcPr>
          <w:p>
            <w:r>
              <w:t>Confluence</w:t>
            </w:r>
          </w:p>
        </w:tc>
        <w:tc>
          <w:tcPr>
            <w:tcW w:type="dxa" w:w="2160"/>
          </w:tcPr>
          <w:p>
            <w:r>
              <w:t>Нет</w:t>
            </w:r>
          </w:p>
        </w:tc>
      </w:tr>
    </w:tbl>
    <w:p>
      <w:r>
        <w:t>Роли по мастер-ТЗ (§1.3): Менеджер фронт-офиса (10–20 чел), Аналитик/Портфельный управляющий (5–10 чел), Руководство (3–7 чел), Бэк-офис (5–10 чел) — суммарно ориентировочно 23–47 человек против пилотных «до 20 пользователей» и 2 активных ролей.</w:t>
      </w:r>
    </w:p>
    <w:p>
      <w:r>
        <w:rPr>
          <w:b/>
        </w:rPr>
        <w:t>Явно отложено в мастер-ТЗ (п. 3.2, дословно):</w:t>
      </w:r>
      <w:r>
        <w:t xml:space="preserve"> «Разграничение прав: compliance видит свои документы, менеджер — своих клиентов (опционально в v2)» — то есть построчная сегрегация доступа внутри роли сейчас не гарантирована даже логически, не только по факту пилота.</w:t>
      </w:r>
    </w:p>
    <w:p>
      <w:r>
        <w:rPr>
          <w:b/>
        </w:rPr>
        <w:t>Важно:</w:t>
      </w:r>
      <w:r>
        <w:t xml:space="preserve"> ни в одном документе базы нет фактической оргструктуры/штата Д8 — таблица ролей выше взята из мастер-ТЗ и не сверялась с реальными подразделениями (см. </w:t>
      </w:r>
      <w:r>
        <w:rPr>
          <w:rFonts w:ascii="Consolas" w:hAnsi="Consolas"/>
          <w:sz w:val="20"/>
        </w:rPr>
        <w:t>case-20-katalog-tree-critic-verdict.md</w:t>
      </w:r>
      <w:r>
        <w:t>). Это не факт, а лучшее доступное приближение.</w:t>
      </w:r>
    </w:p>
    <w:p>
      <w:r>
        <w:t>---</w:t>
      </w:r>
    </w:p>
    <w:p>
      <w:pPr>
        <w:pStyle w:val="Heading2"/>
      </w:pPr>
      <w:r>
        <w:t>2. Подтверждено заказчиком в этой сессии (13–14.09.2026)</w:t>
      </w:r>
    </w:p>
    <w:p>
      <w:r>
        <w:t xml:space="preserve">Все 3 пилотных источника (КХД, ESB/CRM Bitrix24, MCP-сервер) </w:t>
      </w:r>
      <w:r>
        <w:rPr>
          <w:b/>
        </w:rPr>
        <w:t>остаются в скоупе проекта</w:t>
      </w:r>
      <w:r>
        <w:t xml:space="preserve"> — ничего из них не выводится. </w:t>
      </w:r>
      <w:r>
        <w:rPr>
          <w:b/>
        </w:rPr>
        <w:t>ESB и КХД — основные каналы, которые расширяются</w:t>
      </w:r>
      <w:r>
        <w:t>: больше витрин данных и больше API внутри шины, плюс, видимо, более широкий периметр самого хранилища. MCP-сервер остаётся в проекте как есть, на пилотном уровне — без заявленного расширения (если не появится отдельного запроса).</w:t>
      </w:r>
    </w:p>
    <w:p>
      <w:r>
        <w:rPr>
          <w:b/>
        </w:rPr>
        <w:t>Резолюция по «RAG-компании»:</w:t>
      </w:r>
      <w:r>
        <w:t xml:space="preserve"> заказчик подтвердил, что формулировка в пилотном ТЗ — скорее всего опечатка или дублирующее название пилотного контура, а не отдельная система. Убрано из скоупа как самостоятельный источник; снимает открытый вопрос, тянувшийся с пилотного ТЗ.</w:t>
      </w:r>
    </w:p>
    <w:p>
      <w:r>
        <w:t>Источники из мастер-ТЗ, не входившие в пилот (Excel/CSV напрямую, Email, Confluence, отдельный back-office-коннектор) — по-прежнему не подтверждены и не затронуты этим решением ни в одну, ни в другую сторону (см. вопрос 9).</w:t>
      </w:r>
    </w:p>
    <w:p>
      <w:r>
        <w:t>---</w:t>
      </w:r>
    </w:p>
    <w:p>
      <w:pPr>
        <w:pStyle w:val="Heading2"/>
      </w:pPr>
      <w:r>
        <w:t>Архитектура пилота</w:t>
      </w:r>
    </w:p>
    <w:p>
      <w:r>
        <w:t>Платформа в центре, источники данных слева (подключаются к ней), получатели — пользователи и их запросы — справа. Схема строго по фактам пилота (§1–2), не по проектному скоупу — расширение источников и ролей описано ниже, в §3.</w:t>
      </w:r>
    </w:p>
    <w:p>
      <w:r>
        <w:drawing>
          <wp:inline xmlns:a="http://schemas.openxmlformats.org/drawingml/2006/main" xmlns:pic="http://schemas.openxmlformats.org/drawingml/2006/picture">
            <wp:extent cx="5760720" cy="3264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e-27-arhitektura-pilot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4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</w:t>
      </w:r>
    </w:p>
    <w:p>
      <w:pPr>
        <w:pStyle w:val="Heading2"/>
      </w:pPr>
      <w:r>
        <w:t>3. Волны проекта — черновая карта (главный открытый вопрос)</w:t>
      </w:r>
    </w:p>
    <w:p>
      <w:r>
        <w:t>Заказчик задал порядок первых двух волн; дальнейшие волны прямо помечены как требующие уточнения.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Волна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Содержание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Статус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RAG-документы</w:t>
            </w:r>
          </w:p>
        </w:tc>
        <w:tc>
          <w:tcPr>
            <w:tcW w:type="dxa" w:w="2880"/>
          </w:tcPr>
          <w:p>
            <w:r>
              <w:t>Порядок подтверждён заказчиком; точное содержание волны требует уточнения — см. ниже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Расширение КХД и ESB (шины)</w:t>
            </w:r>
          </w:p>
        </w:tc>
        <w:tc>
          <w:tcPr>
            <w:tcW w:type="dxa" w:w="2880"/>
          </w:tcPr>
          <w:p>
            <w:r>
              <w:t>Подтверждено заказчиком (см. §2) — больше витрин и API в шине, возможно расширение периметра КХД</w:t>
            </w:r>
          </w:p>
        </w:tc>
      </w:tr>
      <w:tr>
        <w:tc>
          <w:tcPr>
            <w:tcW w:type="dxa" w:w="2880"/>
          </w:tcPr>
          <w:p>
            <w:r>
              <w:t>3+</w:t>
            </w:r>
          </w:p>
        </w:tc>
        <w:tc>
          <w:tcPr>
            <w:tcW w:type="dxa" w:w="2880"/>
          </w:tcPr>
          <w:p>
            <w:r>
              <w:t>Не определено</w:t>
            </w:r>
          </w:p>
        </w:tc>
        <w:tc>
          <w:tcPr>
            <w:tcW w:type="dxa" w:w="2880"/>
          </w:tcPr>
          <w:p>
            <w:r>
              <w:t>Заказчик прямо отметил: «уточнить какие дальше»</w:t>
            </w:r>
          </w:p>
        </w:tc>
      </w:tr>
    </w:tbl>
    <w:p>
      <w:pPr>
        <w:pStyle w:val="Heading3"/>
      </w:pPr>
      <w:r>
        <w:t>Волна 1 — «RAG-документы»: что нужно уточнить</w:t>
      </w:r>
    </w:p>
    <w:p>
      <w:r>
        <w:t>Формулировка допускает минимум три разных толкования — их не стоит смешивать без явного уточнения у заказчика:</w:t>
      </w:r>
    </w:p>
    <w:p>
      <w:r>
        <w:t xml:space="preserve">- </w:t>
      </w:r>
      <w:r>
        <w:rPr>
          <w:b/>
        </w:rPr>
        <w:t>(а) Расширение самого документного корпуса</w:t>
      </w:r>
      <w:r>
        <w:t xml:space="preserve"> — добавление типов документов, не входивших в пилот: Word/PDF из мастер-ТЗ (декларации, договоры ДУ, меморандумы, внутренние регламенты — §1.2, статус «не подтверждено»). Если это имелось в виду — волна 1 частично закрывает вопрос 9 ниже (Word/PDF-регламенты).</w:t>
      </w:r>
    </w:p>
    <w:p>
      <w:r>
        <w:t xml:space="preserve">- </w:t>
      </w:r>
      <w:r>
        <w:rPr>
          <w:b/>
        </w:rPr>
        <w:t>(б) Улучшение качества и покрытия уже подключённых RAG-коллекций пилота</w:t>
      </w:r>
      <w:r>
        <w:t xml:space="preserve"> (их 2) — без добавления новых типов документов, а работа над полнотой/актуальностью того, что уже загружено.</w:t>
      </w:r>
    </w:p>
    <w:p>
      <w:r>
        <w:t xml:space="preserve">- </w:t>
      </w:r>
      <w:r>
        <w:rPr>
          <w:b/>
        </w:rPr>
        <w:t>(в) Технически новая RAG-коллекция</w:t>
      </w:r>
      <w:r>
        <w:t xml:space="preserve"> под конкретное подразделение или задачу, отдельная от двух пилотных.</w:t>
      </w:r>
    </w:p>
    <w:p>
      <w:r>
        <w:t>Рекомендуем закрыть это тем же способом, что и вопрос про «RAG-компании» — коротким уточняющим созвоном, а не перепиской, поскольку от ответа зависит, входит ли волна 1 в периметр методического этапа П2 (архитектура) или это отдельная, более узкая задача каталогизации/загрузки контента.</w:t>
      </w:r>
    </w:p>
    <w:p>
      <w:pPr>
        <w:pStyle w:val="Heading3"/>
      </w:pPr>
      <w:r>
        <w:t>Волна 2 — Расширение КХД и ESB</w:t>
      </w:r>
    </w:p>
    <w:p>
      <w:r>
        <w:t>Содержание уже описано в §2. Технические открытые вопросы по этой волне — вопросы 1–3 в §5.</w:t>
      </w:r>
    </w:p>
    <w:p>
      <w:pPr>
        <w:pStyle w:val="Heading3"/>
      </w:pPr>
      <w:r>
        <w:t>Волна 3+ — открыто, кандидаты для обсуждения</w:t>
      </w:r>
    </w:p>
    <w:p>
      <w:r>
        <w:t>Заказчик явно оставил это открытым. Ниже — не решение, а материал для следующего разговора (кандидаты, исходя из известного контекста):</w:t>
      </w:r>
    </w:p>
    <w:p>
      <w:r>
        <w:t>- Роллаут на новые роли/подразделения (аналитики/портфельные управляющие → руководство → бэк-офис) — см. предложение 5 в §6.</w:t>
      </w:r>
    </w:p>
    <w:p>
      <w:r>
        <w:t>- Переход на динамические права доступа (вопрос 6), если к этому моменту готова платформенная сторона (реестр §4).</w:t>
      </w:r>
    </w:p>
    <w:p>
      <w:r>
        <w:t>- Источники вне пилотной тройки (Email/Confluence/Excel-CSV) — если по вопросу 9 заказчик подтвердит их актуальность.</w:t>
      </w:r>
    </w:p>
    <w:p>
      <w:r>
        <w:t>- Промышленная эксплуатация (фаза П4 методики) — начинается не как отдельная волна, а как переход в режим SLA после того, как первые волны приняты.</w:t>
      </w:r>
    </w:p>
    <w:p>
      <w:pPr>
        <w:pStyle w:val="Heading3"/>
      </w:pPr>
      <w:r>
        <w:t>Чек-лист: данные для оценки скоупа волны</w:t>
      </w:r>
    </w:p>
    <w:p>
      <w:r>
        <w:t xml:space="preserve">Оба вопроса «что входит в волну» (§5, вопросы 1 и 3) сейчас сформулированы как открытые — они спрашивают </w:t>
      </w:r>
      <w:r>
        <w:rPr>
          <w:b/>
        </w:rPr>
        <w:t>что</w:t>
      </w:r>
      <w:r>
        <w:t xml:space="preserve">, но не </w:t>
      </w:r>
      <w:r>
        <w:rPr>
          <w:b/>
        </w:rPr>
        <w:t>сколько</w:t>
      </w:r>
      <w:r>
        <w:t xml:space="preserve">. Без числовых параметров ниже нельзя оценить трудоёмкость волны даже приблизительно (а Кейс 2 методики и так не даёт оценок трудоёмкости из-за отсутствия прецедента — см. </w:t>
      </w:r>
      <w:r>
        <w:rPr>
          <w:rFonts w:ascii="Consolas" w:hAnsi="Consolas"/>
          <w:sz w:val="20"/>
        </w:rPr>
        <w:t>docs/metodika-vnedreniya.md</w:t>
      </w:r>
      <w:r>
        <w:t>, §4.3; закрыть эти 4 параметра — необходимое условие, чтобы вообще начать оценку, когда проект перейдёт в фазу П2).</w:t>
      </w:r>
    </w:p>
    <w:p>
      <w:r>
        <w:t>Четыре параметра нужны для любой волны независимо от типа источника:</w:t>
      </w:r>
    </w:p>
    <w:p>
      <w:r>
        <w:t xml:space="preserve">1. </w:t>
      </w:r>
      <w:r>
        <w:rPr>
          <w:b/>
        </w:rPr>
        <w:t>Состав данных</w:t>
      </w:r>
      <w:r>
        <w:t xml:space="preserve"> — что технически входит (домен, конкретные сущности)</w:t>
      </w:r>
    </w:p>
    <w:p>
      <w:r>
        <w:t xml:space="preserve">2. </w:t>
      </w:r>
      <w:r>
        <w:rPr>
          <w:b/>
        </w:rPr>
        <w:t>Количество витрин / коллекций</w:t>
      </w:r>
      <w:r>
        <w:t xml:space="preserve"> — единица учёта объёма</w:t>
      </w:r>
    </w:p>
    <w:p>
      <w:r>
        <w:t xml:space="preserve">3. </w:t>
      </w:r>
      <w:r>
        <w:rPr>
          <w:b/>
        </w:rPr>
        <w:t>Количество пользователей</w:t>
      </w:r>
      <w:r>
        <w:t xml:space="preserve"> — кто получит доступ именно в рамках этой волны</w:t>
      </w:r>
    </w:p>
    <w:p>
      <w:r>
        <w:t xml:space="preserve">4. </w:t>
      </w:r>
      <w:r>
        <w:rPr>
          <w:b/>
        </w:rPr>
        <w:t>Количество ролей</w:t>
      </w:r>
      <w:r>
        <w:t xml:space="preserve"> — сколько ролевых профилей затронуто</w:t>
      </w:r>
    </w:p>
    <w:p>
      <w:r>
        <w:t>#### Для КХД / ESB (волна 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Параметр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Известно (пилот)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Нужно уточнить у Д8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Вопрос</w:t>
            </w:r>
          </w:p>
        </w:tc>
      </w:tr>
      <w:tr>
        <w:tc>
          <w:tcPr>
            <w:tcW w:type="dxa" w:w="2160"/>
          </w:tcPr>
          <w:p>
            <w:r>
              <w:t>Состав данных</w:t>
            </w:r>
          </w:p>
        </w:tc>
        <w:tc>
          <w:tcPr>
            <w:tcW w:type="dxa" w:w="2160"/>
          </w:tcPr>
          <w:p>
            <w:r>
              <w:t xml:space="preserve">4 таблицы: </w:t>
            </w:r>
            <w:r>
              <w:rPr>
                <w:rFonts w:ascii="Consolas" w:hAnsi="Consolas"/>
                <w:sz w:val="20"/>
              </w:rPr>
              <w:t>crm.crm.crm.clients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crm.crm.crm.managers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trade.trade.trading.mandates_targets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trade.trade.trading.portfolios</w:t>
            </w:r>
            <w:r>
              <w:t xml:space="preserve"> (у последней — известный пробел: значение портфеля не находится, хотя источник подключён, см. </w:t>
            </w:r>
            <w:r>
              <w:rPr>
                <w:rFonts w:ascii="Consolas" w:hAnsi="Consolas"/>
                <w:sz w:val="20"/>
              </w:rPr>
              <w:t>case-01-d8-014-brief.md</w:t>
            </w:r>
            <w:r>
              <w:t>)</w:t>
            </w:r>
          </w:p>
        </w:tc>
        <w:tc>
          <w:tcPr>
            <w:tcW w:type="dxa" w:w="2160"/>
          </w:tcPr>
          <w:p>
            <w:r>
              <w:t>Новые витрины/таблицы: домен, ключевые поля, владелец на стороне Д8, объём (строк / размер)</w:t>
            </w:r>
          </w:p>
        </w:tc>
        <w:tc>
          <w:tcPr>
            <w:tcW w:type="dxa" w:w="2160"/>
          </w:tcPr>
          <w:p>
            <w:r>
              <w:t>Вопрос 3</w:t>
            </w:r>
          </w:p>
        </w:tc>
      </w:tr>
      <w:tr>
        <w:tc>
          <w:tcPr>
            <w:tcW w:type="dxa" w:w="2160"/>
          </w:tcPr>
          <w:p>
            <w:r>
              <w:t>Количество витрин</w:t>
            </w:r>
          </w:p>
        </w:tc>
        <w:tc>
          <w:tcPr>
            <w:tcW w:type="dxa" w:w="2160"/>
          </w:tcPr>
          <w:p>
            <w:r>
              <w:t>4 (пилот)</w:t>
            </w:r>
          </w:p>
        </w:tc>
        <w:tc>
          <w:tcPr>
            <w:tcW w:type="dxa" w:w="2160"/>
          </w:tcPr>
          <w:p>
            <w:r>
              <w:t>Точное число витрин сверх пилотных 4 — сейчас вопрос 3 спрашивает список, но не просит явно назвать количество</w:t>
            </w:r>
          </w:p>
        </w:tc>
        <w:tc>
          <w:tcPr>
            <w:tcW w:type="dxa" w:w="2160"/>
          </w:tcPr>
          <w:p>
            <w:r>
              <w:t>Вопрос 3 — дополнить формулировку</w:t>
            </w:r>
          </w:p>
        </w:tc>
      </w:tr>
      <w:tr>
        <w:tc>
          <w:tcPr>
            <w:tcW w:type="dxa" w:w="2160"/>
          </w:tcPr>
          <w:p>
            <w:r>
              <w:t>API в шине</w:t>
            </w:r>
          </w:p>
        </w:tc>
        <w:tc>
          <w:tcPr>
            <w:tcW w:type="dxa" w:w="2160"/>
          </w:tcPr>
          <w:p>
            <w:r>
              <w:t>1 интеграция: CRM Bitrix24, REST API/Webhook</w:t>
            </w:r>
          </w:p>
        </w:tc>
        <w:tc>
          <w:tcPr>
            <w:tcW w:type="dxa" w:w="2160"/>
          </w:tcPr>
          <w:p>
            <w:r>
              <w:t>Список новых API: система-источник, формат (REST/SOAP/др.), ответственный на стороне Д8 за контракт</w:t>
            </w:r>
          </w:p>
        </w:tc>
        <w:tc>
          <w:tcPr>
            <w:tcW w:type="dxa" w:w="2160"/>
          </w:tcPr>
          <w:p>
            <w:r>
              <w:t>Вопрос 4</w:t>
            </w:r>
          </w:p>
        </w:tc>
      </w:tr>
      <w:tr>
        <w:tc>
          <w:tcPr>
            <w:tcW w:type="dxa" w:w="2160"/>
          </w:tcPr>
          <w:p>
            <w:r>
              <w:t>Количество пользователей</w:t>
            </w:r>
          </w:p>
        </w:tc>
        <w:tc>
          <w:tcPr>
            <w:tcW w:type="dxa" w:w="2160"/>
          </w:tcPr>
          <w:p>
            <w:r>
              <w:t>до 20 (пилот, все роли вместе)</w:t>
            </w:r>
          </w:p>
        </w:tc>
        <w:tc>
          <w:tcPr>
            <w:tcW w:type="dxa" w:w="2160"/>
          </w:tcPr>
          <w:p>
            <w:r>
              <w:t>Сколько пользователей получат доступ именно к расширенным данным волны 2 — не общий штат, а конкретный контур волны</w:t>
            </w:r>
          </w:p>
        </w:tc>
        <w:tc>
          <w:tcPr>
            <w:tcW w:type="dxa" w:w="2160"/>
          </w:tcPr>
          <w:p>
            <w:r>
              <w:t>Новый пункт — добавить к вопросу 6</w:t>
            </w:r>
          </w:p>
        </w:tc>
      </w:tr>
      <w:tr>
        <w:tc>
          <w:tcPr>
            <w:tcW w:type="dxa" w:w="2160"/>
          </w:tcPr>
          <w:p>
            <w:r>
              <w:t>Количество ролей</w:t>
            </w:r>
          </w:p>
        </w:tc>
        <w:tc>
          <w:tcPr>
            <w:tcW w:type="dxa" w:w="2160"/>
          </w:tcPr>
          <w:p>
            <w:r>
              <w:t>2 из «до 5» по пилотному ТЗ</w:t>
            </w:r>
          </w:p>
        </w:tc>
        <w:tc>
          <w:tcPr>
            <w:tcW w:type="dxa" w:w="2160"/>
          </w:tcPr>
          <w:p>
            <w:r>
              <w:t>Волна 2 работает в рамках тех же 2 ролей, что пилот, или подключает новые</w:t>
            </w:r>
          </w:p>
        </w:tc>
        <w:tc>
          <w:tcPr>
            <w:tcW w:type="dxa" w:w="2160"/>
          </w:tcPr>
          <w:p>
            <w:r>
              <w:t>Вопрос 6</w:t>
            </w:r>
          </w:p>
        </w:tc>
      </w:tr>
    </w:tbl>
    <w:p>
      <w:r>
        <w:t>#### Для RAG (волна 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Параметр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Известно (пилот)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Нужно уточнить у Д8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Вопрос</w:t>
            </w:r>
          </w:p>
        </w:tc>
      </w:tr>
      <w:tr>
        <w:tc>
          <w:tcPr>
            <w:tcW w:type="dxa" w:w="2160"/>
          </w:tcPr>
          <w:p>
            <w:r>
              <w:t>Состав данных</w:t>
            </w:r>
          </w:p>
        </w:tc>
        <w:tc>
          <w:tcPr>
            <w:tcW w:type="dxa" w:w="2160"/>
          </w:tcPr>
          <w:p>
            <w:r>
              <w:t>2 RAG-коллекции пилота (конкретная тематика документов не зафиксирована ни в одном кейсе базы)</w:t>
            </w:r>
          </w:p>
        </w:tc>
        <w:tc>
          <w:tcPr>
            <w:tcW w:type="dxa" w:w="2160"/>
          </w:tcPr>
          <w:p>
            <w:r>
              <w:t>Зависит от толкования (а/б/в выше): при (а) — какие именно типы документов добавляются (кандидаты из мастер-ТЗ §1.2: договоры ДУ, декларации, меморандумы, внутренние регламенты)</w:t>
            </w:r>
          </w:p>
        </w:tc>
        <w:tc>
          <w:tcPr>
            <w:tcW w:type="dxa" w:w="2160"/>
          </w:tcPr>
          <w:p>
            <w:r>
              <w:t>Вопрос 1</w:t>
            </w:r>
          </w:p>
        </w:tc>
      </w:tr>
      <w:tr>
        <w:tc>
          <w:tcPr>
            <w:tcW w:type="dxa" w:w="2160"/>
          </w:tcPr>
          <w:p>
            <w:r>
              <w:t>Количество коллекций</w:t>
            </w:r>
          </w:p>
        </w:tc>
        <w:tc>
          <w:tcPr>
            <w:tcW w:type="dxa" w:w="2160"/>
          </w:tcPr>
          <w:p>
            <w:r>
              <w:t>2 (пилот)</w:t>
            </w:r>
          </w:p>
        </w:tc>
        <w:tc>
          <w:tcPr>
            <w:tcW w:type="dxa" w:w="2160"/>
          </w:tcPr>
          <w:p>
            <w:r>
              <w:t>Волна 1 расширяет существующие 2 коллекции или создаёт новые — и если новые, сколько</w:t>
            </w:r>
          </w:p>
        </w:tc>
        <w:tc>
          <w:tcPr>
            <w:tcW w:type="dxa" w:w="2160"/>
          </w:tcPr>
          <w:p>
            <w:r>
              <w:t>Вопрос 1 — дополнить формулировку</w:t>
            </w:r>
          </w:p>
        </w:tc>
      </w:tr>
      <w:tr>
        <w:tc>
          <w:tcPr>
            <w:tcW w:type="dxa" w:w="2160"/>
          </w:tcPr>
          <w:p>
            <w:r>
              <w:t>Количество документов</w:t>
            </w:r>
          </w:p>
        </w:tc>
        <w:tc>
          <w:tcPr>
            <w:tcW w:type="dxa" w:w="2160"/>
          </w:tcPr>
          <w:p>
            <w:r>
              <w:t>Не зафиксировано — объём пилотного корпуса неизвестен по имеющимся кейсам</w:t>
            </w:r>
          </w:p>
        </w:tc>
        <w:tc>
          <w:tcPr>
            <w:tcW w:type="dxa" w:w="2160"/>
          </w:tcPr>
          <w:p>
            <w:r>
              <w:t>Оценка объёма: количество документов, средний размер, темп прироста (важно для оценки индексации и стоимости хранения)</w:t>
            </w:r>
          </w:p>
        </w:tc>
        <w:tc>
          <w:tcPr>
            <w:tcW w:type="dxa" w:w="2160"/>
          </w:tcPr>
          <w:p>
            <w:r>
              <w:t>Новый пункт — добавить к вопросу 1</w:t>
            </w:r>
          </w:p>
        </w:tc>
      </w:tr>
      <w:tr>
        <w:tc>
          <w:tcPr>
            <w:tcW w:type="dxa" w:w="2160"/>
          </w:tcPr>
          <w:p>
            <w:r>
              <w:t>Количество пользователей</w:t>
            </w:r>
          </w:p>
        </w:tc>
        <w:tc>
          <w:tcPr>
            <w:tcW w:type="dxa" w:w="2160"/>
          </w:tcPr>
          <w:p>
            <w:r>
              <w:t>до 20 (пилот)</w:t>
            </w:r>
          </w:p>
        </w:tc>
        <w:tc>
          <w:tcPr>
            <w:tcW w:type="dxa" w:w="2160"/>
          </w:tcPr>
          <w:p>
            <w:r>
              <w:t>Тот же контур пользователей, что в пилоте, или волна 1 открывает доступ новым</w:t>
            </w:r>
          </w:p>
        </w:tc>
        <w:tc>
          <w:tcPr>
            <w:tcW w:type="dxa" w:w="2160"/>
          </w:tcPr>
          <w:p>
            <w:r>
              <w:t>Новый пункт — добавить к вопросу 6</w:t>
            </w:r>
          </w:p>
        </w:tc>
      </w:tr>
      <w:tr>
        <w:tc>
          <w:tcPr>
            <w:tcW w:type="dxa" w:w="2160"/>
          </w:tcPr>
          <w:p>
            <w:r>
              <w:t>Количество ролей</w:t>
            </w:r>
          </w:p>
        </w:tc>
        <w:tc>
          <w:tcPr>
            <w:tcW w:type="dxa" w:w="2160"/>
          </w:tcPr>
          <w:p>
            <w:r>
              <w:t>2 (пилот)</w:t>
            </w:r>
          </w:p>
        </w:tc>
        <w:tc>
          <w:tcPr>
            <w:tcW w:type="dxa" w:w="2160"/>
          </w:tcPr>
          <w:p>
            <w:r>
              <w:t>Какие роли получают доступ к волне 1</w:t>
            </w:r>
          </w:p>
        </w:tc>
        <w:tc>
          <w:tcPr>
            <w:tcW w:type="dxa" w:w="2160"/>
          </w:tcPr>
          <w:p>
            <w:r>
              <w:t>Вопрос 6</w:t>
            </w:r>
          </w:p>
        </w:tc>
      </w:tr>
    </w:tbl>
    <w:p>
      <w:r>
        <w:rPr>
          <w:b/>
        </w:rPr>
        <w:t>Как использовать:</w:t>
      </w:r>
      <w:r>
        <w:t xml:space="preserve"> это рабочий шаблон сбора данных, не готовый вопрос заказчику — заполняется по итогам созвона по волне 1 (предложение 1, §6) и по ответам на вопросы 3–6. Тот же шаблон (4 параметра) переиспользуется для волны 3+, когда её содержание определится.</w:t>
      </w:r>
    </w:p>
    <w:p>
      <w:r>
        <w:t>---</w:t>
      </w:r>
    </w:p>
    <w:p>
      <w:pPr>
        <w:pStyle w:val="Heading2"/>
      </w:pPr>
      <w:r>
        <w:t>4. Реестр открытых платформенных пунктов (скриншот трекера, эта сессия)</w:t>
      </w:r>
    </w:p>
    <w:p>
      <w:r>
        <w:t>Транскрипция таблицы, присланной пользователем — статус/приоритет платформенных возможностей, релевантных для оценки готовности к проекту Д8. Дополнена (14.09.2026) колонками «Квартал» (срок на стороне платформы) и «Уточнение» (что уже помечено как требующее уточнения у заказчика):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Пункт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Приоритет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Квартал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Уточнение</w:t>
            </w:r>
          </w:p>
        </w:tc>
      </w:tr>
      <w:tr>
        <w:tc>
          <w:tcPr>
            <w:tcW w:type="dxa" w:w="1728"/>
          </w:tcPr>
          <w:p>
            <w:r>
              <w:t>В плане</w:t>
            </w:r>
          </w:p>
        </w:tc>
        <w:tc>
          <w:tcPr>
            <w:tcW w:type="dxa" w:w="1728"/>
          </w:tcPr>
          <w:p>
            <w:r>
              <w:t>Мультидоменная авторизация</w:t>
            </w:r>
          </w:p>
        </w:tc>
        <w:tc>
          <w:tcPr>
            <w:tcW w:type="dxa" w:w="1728"/>
          </w:tcPr>
          <w:p>
            <w:r>
              <w:t>Критичный</w:t>
            </w:r>
          </w:p>
        </w:tc>
        <w:tc>
          <w:tcPr>
            <w:tcW w:type="dxa" w:w="1728"/>
          </w:tcPr>
          <w:p>
            <w:r>
              <w:t>4 квартал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Работа с MS Office 365</w:t>
            </w:r>
          </w:p>
        </w:tc>
        <w:tc>
          <w:tcPr>
            <w:tcW w:type="dxa" w:w="1728"/>
          </w:tcPr>
          <w:p>
            <w:r>
              <w:t>Нормальный</w:t>
            </w:r>
          </w:p>
        </w:tc>
        <w:tc>
          <w:tcPr>
            <w:tcW w:type="dxa" w:w="1728"/>
          </w:tcPr>
          <w:p>
            <w:r>
              <w:t>4 квартал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Выяснить про search API</w:t>
            </w:r>
          </w:p>
        </w:tc>
        <w:tc>
          <w:tcPr>
            <w:tcW w:type="dxa" w:w="1728"/>
          </w:tcPr>
          <w:p>
            <w:r>
              <w:t>Поддержка актуальной версии API Claude (web search и т.п.)</w:t>
            </w:r>
          </w:p>
        </w:tc>
        <w:tc>
          <w:tcPr>
            <w:tcW w:type="dxa" w:w="1728"/>
          </w:tcPr>
          <w:p>
            <w:r>
              <w:t>Критичный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Уточняем (на стороне платформы)</w:t>
            </w:r>
          </w:p>
        </w:tc>
      </w:tr>
      <w:tr>
        <w:tc>
          <w:tcPr>
            <w:tcW w:type="dxa" w:w="1728"/>
          </w:tcPr>
          <w:p>
            <w:r>
              <w:t>Кастомизация выбора источников</w:t>
            </w:r>
          </w:p>
        </w:tc>
        <w:tc>
          <w:tcPr>
            <w:tcW w:type="dxa" w:w="1728"/>
          </w:tcPr>
          <w:p>
            <w:r>
              <w:t>Возможность подключения/отключения источников данных внутри компании при работе в режиме чата и через API</w:t>
            </w:r>
          </w:p>
        </w:tc>
        <w:tc>
          <w:tcPr>
            <w:tcW w:type="dxa" w:w="1728"/>
          </w:tcPr>
          <w:p>
            <w:r>
              <w:t>Нормальный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Уточнить у заказчика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Отмечать замены в анонимизируемых данных для пользовательских правил не как CUSTOM_N, а с разными наименованиями для разных правил</w:t>
            </w:r>
          </w:p>
        </w:tc>
        <w:tc>
          <w:tcPr>
            <w:tcW w:type="dxa" w:w="1728"/>
          </w:tcPr>
          <w:p>
            <w:r>
              <w:t>Нормальный</w:t>
            </w:r>
          </w:p>
        </w:tc>
        <w:tc>
          <w:tcPr>
            <w:tcW w:type="dxa" w:w="1728"/>
          </w:tcPr>
          <w:p>
            <w:r>
              <w:t>4 квартал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Обновление данных в RAG-ах через API. Базы знаний ведутся в других источниках, нужны автоматические процедуры по поддержанию в актуальном состоянии баз знаний в ИИ платформе</w:t>
            </w:r>
          </w:p>
        </w:tc>
        <w:tc>
          <w:tcPr>
            <w:tcW w:type="dxa" w:w="1728"/>
          </w:tcPr>
          <w:p>
            <w:r>
              <w:t>Высокий</w:t>
            </w:r>
          </w:p>
        </w:tc>
        <w:tc>
          <w:tcPr>
            <w:tcW w:type="dxa" w:w="1728"/>
          </w:tcPr>
          <w:p>
            <w:r>
              <w:t>4 квартал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Требует проработки</w:t>
            </w:r>
          </w:p>
        </w:tc>
        <w:tc>
          <w:tcPr>
            <w:tcW w:type="dxa" w:w="1728"/>
          </w:tcPr>
          <w:p>
            <w:r>
              <w:t>Обновление информации о правах доступа сотрудников к данным внутри таблиц. Сейчас — только по фиксированному списку из политик доступа. Нужно, чтобы данные получались через таблицы/API — права динамические и могут регулярно меняться</w:t>
            </w:r>
          </w:p>
        </w:tc>
        <w:tc>
          <w:tcPr>
            <w:tcW w:type="dxa" w:w="1728"/>
          </w:tcPr>
          <w:p>
            <w:r>
              <w:t>Высокий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Уточнить у заказчика</w:t>
            </w:r>
          </w:p>
        </w:tc>
      </w:tr>
      <w:tr>
        <w:tc>
          <w:tcPr>
            <w:tcW w:type="dxa" w:w="1728"/>
          </w:tcPr>
          <w:p>
            <w:r>
              <w:t>Требует проработки (визуал)</w:t>
            </w:r>
          </w:p>
        </w:tc>
        <w:tc>
          <w:tcPr>
            <w:tcW w:type="dxa" w:w="1728"/>
          </w:tcPr>
          <w:p>
            <w:r>
              <w:t>Работа с графиками — проблемы в отображении данных, есть планы по красоте отображения, пока не хочется оставлять как целевой вариант</w:t>
            </w:r>
          </w:p>
        </w:tc>
        <w:tc>
          <w:tcPr>
            <w:tcW w:type="dxa" w:w="1728"/>
          </w:tcPr>
          <w:p>
            <w:r>
              <w:t>Нормальный</w:t>
            </w:r>
          </w:p>
        </w:tc>
        <w:tc>
          <w:tcPr>
            <w:tcW w:type="dxa" w:w="1728"/>
          </w:tcPr>
          <w:p>
            <w:r>
              <w:t>4 квартал — 1 квартал 2027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Требует проработки</w:t>
            </w:r>
          </w:p>
        </w:tc>
        <w:tc>
          <w:tcPr>
            <w:tcW w:type="dxa" w:w="1728"/>
          </w:tcPr>
          <w:p>
            <w:r>
              <w:t>Дать пользователям возможность создавать RAG и делиться ими с сотрудниками — персональные коллекции у пользователя, а не набор файлов как сейчас. Выводить документы в фильтры для пользователя при выборе источника запроса</w:t>
            </w:r>
          </w:p>
        </w:tc>
        <w:tc>
          <w:tcPr>
            <w:tcW w:type="dxa" w:w="1728"/>
          </w:tcPr>
          <w:p>
            <w:r>
              <w:t>Нормальный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Уточнить у заказчика</w:t>
            </w:r>
          </w:p>
        </w:tc>
      </w:tr>
      <w:tr>
        <w:tc>
          <w:tcPr>
            <w:tcW w:type="dxa" w:w="1728"/>
          </w:tcPr>
          <w:p>
            <w:r>
              <w:t>В работе</w:t>
            </w:r>
          </w:p>
        </w:tc>
        <w:tc>
          <w:tcPr>
            <w:tcW w:type="dxa" w:w="1728"/>
          </w:tcPr>
          <w:p>
            <w:r>
              <w:t>Пользовательская и админская документация на систему</w:t>
            </w:r>
          </w:p>
        </w:tc>
        <w:tc>
          <w:tcPr>
            <w:tcW w:type="dxa" w:w="1728"/>
          </w:tcPr>
          <w:p>
            <w:r>
              <w:t>Высокий</w:t>
            </w:r>
          </w:p>
        </w:tc>
        <w:tc>
          <w:tcPr>
            <w:tcW w:type="dxa" w:w="1728"/>
          </w:tcPr>
          <w:p>
            <w:r>
              <w:t>4 квартал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Упрощение заведения пользователей</w:t>
            </w:r>
          </w:p>
        </w:tc>
        <w:tc>
          <w:tcPr>
            <w:tcW w:type="dxa" w:w="1728"/>
          </w:tcPr>
          <w:p>
            <w:r>
              <w:t>Нормальный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Уточнить у заказчика</w:t>
            </w:r>
          </w:p>
        </w:tc>
      </w:tr>
    </w:tbl>
    <w:p>
      <w:r>
        <w:rPr>
          <w:b/>
        </w:rPr>
        <w:t>Прямая связь с волной 2 (§3) / решением по ESB (§2) — с поправкой на сроки:</w:t>
      </w:r>
    </w:p>
    <w:p>
      <w:r>
        <w:t xml:space="preserve">- «Обновление данных в RAG-ах через API» (высокий) — </w:t>
      </w:r>
      <w:r>
        <w:rPr>
          <w:b/>
        </w:rPr>
        <w:t>уже в плане на 4 квартал</w:t>
      </w:r>
      <w:r>
        <w:t>, платформенная сторона не блокирует старт волны 2 в ожидаемые сроки.</w:t>
      </w:r>
    </w:p>
    <w:p>
      <w:r>
        <w:t>- «Обновление информации о правах доступа... через таблицы/API» (высокий) — сроков пока нет, статус «Уточнить у заказчика». Это более реальный риск-фактор для волны 2 (и особенно для чувствительных волн 3+), чем первый пункт — см. пересмотренное предложение 4 в §6.</w:t>
      </w:r>
    </w:p>
    <w:p>
      <w:r>
        <w:rPr>
          <w:b/>
        </w:rPr>
        <w:t>Из 11 пунктов реестра только 4 помечены «Уточнить у заказчика»</w:t>
      </w:r>
      <w:r>
        <w:t xml:space="preserve"> — именно они (и только они) взяты в список вопросов ниже (§5, раздел «Платформенные возможности»). Остальные 7 — либо уже запланированы платформой на конкретный квартал (мультидоменная авторизация, MS Office 365, обновление RAG через API, визуал графиков, документация, кастомные наименования замен), либо в статусе «Уточняем» силами самой платформенной команды, не требуют ответа от заказчика (поддержка API Claude/search) — вынесены из вопросов заказчику, чтобы не задавать то, что уже решается без него.</w:t>
      </w:r>
    </w:p>
    <w:p>
      <w:r>
        <w:t>---</w:t>
      </w:r>
    </w:p>
    <w:p>
      <w:pPr>
        <w:pStyle w:val="Heading2"/>
      </w:pPr>
      <w:r>
        <w:t>5. Список вопросов к заказчику (Д8)</w:t>
      </w:r>
    </w:p>
    <w:p>
      <w:pPr>
        <w:pStyle w:val="Heading3"/>
      </w:pPr>
      <w:r>
        <w:t>Волны проекта</w:t>
      </w:r>
    </w:p>
    <w:p>
      <w:r>
        <w:t>1. Волна 1 «RAG-документы» — что именно имеется в виду: (а) новые типы документов сверх пилотных двух коллекций, (б) улучшение качества/покрытия уже загруженного, или (в) отдельная новая коллекция под конкретную задачу/подразделение? Для оценки объёма: сколько коллекций в результате (расширяются существующие 2 или добавляются новые — и сколько), и примерный объём корпуса (количество документов, средний размер, темп прироста).</w:t>
      </w:r>
    </w:p>
    <w:p>
      <w:r>
        <w:t>2. Волна 3 и далее — есть ли уже примерное направление (роли, новые источники, промышленная эксплуатация), или это открытый вопрос до завершения волны 2?</w:t>
      </w:r>
    </w:p>
    <w:p>
      <w:pPr>
        <w:pStyle w:val="Heading3"/>
      </w:pPr>
      <w:r>
        <w:t>Интеграция (ESB / КХД, волна 2)</w:t>
      </w:r>
    </w:p>
    <w:p>
      <w:r>
        <w:t>3. Какие конкретно витрины данных нужно добавить в ESB сверх текущего среза CRM (Bitrix24)? Нужен список с владельцами на стороне Д8 — и явное число: сколько витрин добавляется сверх пилотных 4 (</w:t>
      </w:r>
      <w:r>
        <w:rPr>
          <w:rFonts w:ascii="Consolas" w:hAnsi="Consolas"/>
          <w:sz w:val="20"/>
        </w:rPr>
        <w:t>crm.crm.crm.clients</w:t>
      </w:r>
      <w:r>
        <w:t xml:space="preserve">, </w:t>
      </w:r>
      <w:r>
        <w:rPr>
          <w:rFonts w:ascii="Consolas" w:hAnsi="Consolas"/>
          <w:sz w:val="20"/>
        </w:rPr>
        <w:t>crm.crm.crm.managers</w:t>
      </w:r>
      <w:r>
        <w:t xml:space="preserve">, </w:t>
      </w:r>
      <w:r>
        <w:rPr>
          <w:rFonts w:ascii="Consolas" w:hAnsi="Consolas"/>
          <w:sz w:val="20"/>
        </w:rPr>
        <w:t>trade.trade.trading.mandates_targets</w:t>
      </w:r>
      <w:r>
        <w:t xml:space="preserve">, </w:t>
      </w:r>
      <w:r>
        <w:rPr>
          <w:rFonts w:ascii="Consolas" w:hAnsi="Consolas"/>
          <w:sz w:val="20"/>
        </w:rPr>
        <w:t>trade.trade.trading.portfolios</w:t>
      </w:r>
      <w:r>
        <w:t>).</w:t>
      </w:r>
    </w:p>
    <w:p>
      <w:r>
        <w:t>4. Какие конкретно API нужно открыть через шину — по каждому: система-источник, формат (REST/SOAP/др.), кто на стороне Д8 отвечает за контракт API.</w:t>
      </w:r>
    </w:p>
    <w:p>
      <w:r>
        <w:t>5. КХД — расширяется ли состав таблиц/витрин внутри самого хранилища, или его периметр остаётся как в пилоте?</w:t>
      </w:r>
    </w:p>
    <w:p>
      <w:pPr>
        <w:pStyle w:val="Heading3"/>
      </w:pPr>
      <w:r>
        <w:t>Права доступа и роли</w:t>
      </w:r>
    </w:p>
    <w:p>
      <w:r>
        <w:t>6. Реальная оргструктура для проекта: список подразделений/ролей с числом пользователей в каждой (не гипотетическая таблица из мастер-ТЗ, а факт) — нужна для карты волн 3+. Отдельно по волнам 1 и 2: сколько пользователей и какие именно роли получают доступ в рамках именно этой волны (не общий штат) — тот же контур, что в пилоте (до 20 пользователей, 2 роли), или шире.</w:t>
      </w:r>
    </w:p>
    <w:p>
      <w:r>
        <w:t>7. Разграничение прав «compliance видит своё, менеджер — своих клиентов» (п. 3.2 мастер-ТЗ, помечено «опционально в v2») — обязательное требование для проекта или можно оставить на будущее?</w:t>
      </w:r>
    </w:p>
    <w:p>
      <w:r>
        <w:t>8. Права доступа сотрудников сейчас фиксированы по статичному списку политик. Для проекта это должно стать динамическим через API — но нужна точная схема процесса: права хранятся и администрируются внутри самой платформы (и меняются там же), или платформа только получает их из внешней системы-источника через API и применяет как есть? Если второе — какая система источник истины (HR-система, Bitrix24, отдельный IAM) и как часто права обновляются? *(= пункт реестра «Обновление информации о правах доступа...», Уточнить у заказчика)*</w:t>
      </w:r>
    </w:p>
    <w:p>
      <w:pPr>
        <w:pStyle w:val="Heading3"/>
      </w:pPr>
      <w:r>
        <w:t>Источники данных вне пилотных трёх</w:t>
      </w:r>
    </w:p>
    <w:p>
      <w:r>
        <w:t>9. Email, Word/PDF-регламенты, Confluence из мастер-ТЗ (§1.2) — они не входили в пилот. Подтверждается ли, что они НЕ входят и в проект (за вычетом того, что может решиться толкованием волны 1(а)), или это отдельный вопрос, который ещё предстоит решить?</w:t>
      </w:r>
    </w:p>
    <w:p>
      <w:r>
        <w:t>10. Email в мастер-ТЗ помечен Must Have, но тест-кейсы (TC-EMAIL) отсутствовали уже в пилоте — снимается ли это требование в проекте или переносится?</w:t>
      </w:r>
    </w:p>
    <w:p>
      <w:pPr>
        <w:pStyle w:val="Heading3"/>
      </w:pPr>
      <w:r>
        <w:t>Платформенные возможности — только пункты реестра, помеченные «Уточнить у заказчика»</w:t>
      </w:r>
    </w:p>
    <w:p>
      <w:r>
        <w:t>11. Кастомизация выбора источников — нужно уточнить, что именно имеется в виду: (а) подключение/отключение целых каталогов данных внутри домена компании, или (б) выбор персоны/профиля пользователя с отдельным набором прав доступа к источникам? Это разные по объёму реализации задачи.</w:t>
      </w:r>
    </w:p>
    <w:p>
      <w:r>
        <w:t>12. Персональные RAG-коллекции пользователей — нужно уточнить механику: имеется в виду фильтр по документам внутри уже существующей коллекции (сузить область поиска), или отдельная новая коллекция, которую пользователь создаёт и наполняет сам?</w:t>
      </w:r>
    </w:p>
    <w:p>
      <w:r>
        <w:t>13. Упрощение заведения пользователей — нужен не общий запрос, а конкретный кейс: как должен выглядеть процесс пошагово (кто инициирует, какие поля заполняются, кто подтверждает), чтобы платформа могла спроектировать решение по существу.</w:t>
      </w:r>
    </w:p>
    <w:p>
      <w:pPr>
        <w:pStyle w:val="Heading3"/>
      </w:pPr>
      <w:r>
        <w:t>Общее по проекту (Кейс 2 методики)</w:t>
      </w:r>
    </w:p>
    <w:p>
      <w:r>
        <w:t>14. Кто со стороны Д8 — новый владелец процесса на фазе П4 (промышленная эксплуатация)? Тот же технический контакт, что в пилоте, или отдельная выделенная роль/команда?</w:t>
      </w:r>
    </w:p>
    <w:p>
      <w:r>
        <w:t xml:space="preserve">15. Формальный критерий перехода в проект: пилот по </w:t>
      </w:r>
      <w:r>
        <w:rPr>
          <w:rFonts w:ascii="Consolas" w:hAnsi="Consolas"/>
          <w:sz w:val="20"/>
        </w:rPr>
        <w:t>case-21</w:t>
      </w:r>
      <w:r>
        <w:t xml:space="preserve"> не прошёл все пороги приёмки (Сценарий 6: 67,4%/70%, Сценарий 4: 87,5%/95%) — Д8 согласен двигаться дальше при текущем результате, или ждём отдельного дозакрытия этих двух пунктов до старта П1?</w:t>
      </w:r>
    </w:p>
    <w:p>
      <w:r>
        <w:t>---</w:t>
      </w:r>
    </w:p>
    <w:p>
      <w:pPr>
        <w:pStyle w:val="Heading2"/>
      </w:pPr>
      <w:r>
        <w:t>6. Наши предложения (не только вопросы — рабочая позиция по умолчанию)</w:t>
      </w:r>
    </w:p>
    <w:p>
      <w:r>
        <w:t>По части вопросов есть смысл не просто спрашивать, а предложить заказчику отправную позицию — легче поправить готовое предложение, чем отвечать на открытый вопрос с нуля.</w:t>
      </w:r>
    </w:p>
    <w:p>
      <w:r>
        <w:t xml:space="preserve">1. </w:t>
      </w:r>
      <w:r>
        <w:rPr>
          <w:b/>
        </w:rPr>
        <w:t>Волна 1 — закрыть коротким созвоном, не перепиской.</w:t>
      </w:r>
      <w:r>
        <w:t xml:space="preserve"> Как и с «RAG-компании» — три возможных толкования (§3) слишком разные по объёму работ, чтобы гадать. Предлагаем этот вопрос первым, до отправки остального списка.</w:t>
      </w:r>
    </w:p>
    <w:p>
      <w:r>
        <w:t xml:space="preserve">2. </w:t>
      </w:r>
      <w:r>
        <w:rPr>
          <w:b/>
        </w:rPr>
        <w:t>Решение по ESB/КХД (волна 2) зафиксировать письменно как есть — расширение, не сужение.</w:t>
      </w:r>
      <w:r>
        <w:t xml:space="preserve"> Предлагаем формулировку для проектного ТЗ: «Все 3 пилотных источника (КХД, ESB/CRM, MCP-сервер) остаются в проекте; ESB и КХД получают расширение (витрины/API), MCP-сервер — на пилотном уровне; «RAG-компании» исключён из скоупа как опечатка/дублирующее название». Источники вне пилотной тройки — отдельный, пока не решённый вопрос (вопрос 9), не путать с этим решением.</w:t>
      </w:r>
    </w:p>
    <w:p>
      <w:r>
        <w:t xml:space="preserve">3. </w:t>
      </w:r>
      <w:r>
        <w:rPr>
          <w:b/>
        </w:rPr>
        <w:t>Разграничение прав compliance/менеджер — предлагаем переквалифицировать из «опционально в v2» в обязательное для проекта.</w:t>
      </w:r>
      <w:r>
        <w:t xml:space="preserve"> Мастер-ТЗ пометил это как опциональное, но Д8 — брокер/инвестиционная компания, и доступ менеджера к чужим клиентам — это не UX-неудобство, а комплаенс-риск. Рекомендуем не спрашивать «нужно ли», а прямо предложить включить в обязательный скоуп и попросить заказчика подтвердить/отклонить, а не решать с нуля.</w:t>
      </w:r>
    </w:p>
    <w:p>
      <w:r>
        <w:t xml:space="preserve">4. </w:t>
      </w:r>
      <w:r>
        <w:rPr>
          <w:b/>
        </w:rPr>
        <w:t>Динамические права доступа (вопрос 8) — не блокировать волну 2, но зафиксировать как gate для поздних волн.</w:t>
      </w:r>
      <w:r>
        <w:t xml:space="preserve"> На стороне платформы срока пока нет («Уточнить у заказчика» в реестре — платформа тоже ждёт ответа Д8). Предлагаем: волну 2 запускать на статичной модели прав (как в пилоте), но заложить в архитектуру совместимость с будущим переходом на API-модель — и явно зафиксировать, что волны с данными повышенной чувствительности (комплаенс, бэк-офис, кандидаты для волны 3+) не начинаются, пока это не готово с обеих сторон (ответ Д8 + реализация платформы). Отдельно: «Обновление данных в RAG через API» — уже в плане платформы на 4 квартал, для этого пункта отдельного вопроса заказчику не нужно, только держать в поле зрения срок.</w:t>
      </w:r>
    </w:p>
    <w:p>
      <w:r>
        <w:t xml:space="preserve">5. </w:t>
      </w:r>
      <w:r>
        <w:rPr>
          <w:b/>
        </w:rPr>
        <w:t>Для волны 3+, если это роллаут по ролям — предлагаем порядок по умолчанию: фронт-офис → аналитики/портфельные управляющие → руководство → бэк-офис.</w:t>
      </w:r>
      <w:r>
        <w:t xml:space="preserve"> Обоснование: фронт-офис — единственная роль, реально протестированная в пилоте (тот же кейс D8-014), значит первая среди ролевых волн — наименьший технический риск. Бэк-офис — последним: самые чувствительные данные (сделки, документы), и именно туда упирается вопрос 8 (динамические права доступа).</w:t>
      </w:r>
    </w:p>
    <w:p>
      <w:r>
        <w:t xml:space="preserve">6. </w:t>
      </w:r>
      <w:r>
        <w:rPr>
          <w:b/>
        </w:rPr>
        <w:t>Критерий перехода (вопрос 15) — предлагаем не ждать дозакрытия сценариев 6 и 4.</w:t>
      </w:r>
      <w:r>
        <w:t xml:space="preserve"> По методике (§4.1 Кейса 2) переход не требует 100% pass. Предлагаем перенести оба открытых пункта в явный «список долга» бизнес-кейса П1 — с обязательством закрыть их в рамках волны 1 или 2, а не тихо забыть при переходе в проект.</w:t>
      </w:r>
    </w:p>
    <w:p>
      <w:r>
        <w:t>---</w:t>
      </w:r>
    </w:p>
    <w:p>
      <w:pPr>
        <w:pStyle w:val="Heading2"/>
      </w:pPr>
      <w:r>
        <w:t>См. также</w:t>
      </w:r>
    </w:p>
    <w:p>
      <w:r>
        <w:t>- [</w:t>
      </w:r>
      <w:r>
        <w:rPr>
          <w:rFonts w:ascii="Consolas" w:hAnsi="Consolas"/>
          <w:sz w:val="20"/>
        </w:rPr>
        <w:t>docs/presentations/case-27-proekt-d8-skoup-i-voprosy.pptx</w:t>
      </w:r>
      <w:r>
        <w:t>](../presentations/case-27-proekt-d8-skoup-i-voprosy.pptx) — презентация: программа проекта, диаграмма Ганта, реестр предложений, вопросы к заказчику.</w:t>
      </w:r>
    </w:p>
    <w:p>
      <w:r>
        <w:t>- [</w:t>
      </w:r>
      <w:r>
        <w:rPr>
          <w:rFonts w:ascii="Consolas" w:hAnsi="Consolas"/>
          <w:sz w:val="20"/>
        </w:rPr>
        <w:t>docs/analysis/case-27-proekt-d8-skoup-i-voprosy.xlsx</w:t>
      </w:r>
      <w:r>
        <w:t>](case-27-proekt-d8-skoup-i-voprosy.xlsx) — рабочая таблица (программа, вопросы, реестр).</w:t>
      </w:r>
    </w:p>
    <w:p>
      <w:r>
        <w:t>- [</w:t>
      </w:r>
      <w:r>
        <w:rPr>
          <w:rFonts w:ascii="Consolas" w:hAnsi="Consolas"/>
          <w:sz w:val="20"/>
        </w:rPr>
        <w:t>docs/metodika-vnedreniya.md</w:t>
      </w:r>
      <w:r>
        <w:t>](../metodika-vnedreniya.md) — методика, Кейс 2 (П1–П5).</w:t>
      </w:r>
    </w:p>
    <w:p>
      <w:r>
        <w:t>- [</w:t>
      </w:r>
      <w:r>
        <w:rPr>
          <w:rFonts w:ascii="Consolas" w:hAnsi="Consolas"/>
          <w:sz w:val="20"/>
        </w:rPr>
        <w:t>docs/analysis/case-03-pilot-tz-ai-guard.md</w:t>
      </w:r>
      <w:r>
        <w:t>](case-03-pilot-tz-ai-guard.md) — пилотное ТЗ, скоуп пилота и явные ограничения.</w:t>
      </w:r>
    </w:p>
    <w:p>
      <w:r>
        <w:t>- [</w:t>
      </w:r>
      <w:r>
        <w:rPr>
          <w:rFonts w:ascii="Consolas" w:hAnsi="Consolas"/>
          <w:sz w:val="20"/>
        </w:rPr>
        <w:t>docs/analysis/case-02-tz-deep-analysis-and-proposals.md</w:t>
      </w:r>
      <w:r>
        <w:t>](case-02-tz-deep-analysis-and-proposals.md) — разбор мастер-ТЗ, полный ландшафт источников/ролей.</w:t>
      </w:r>
    </w:p>
    <w:p>
      <w:r>
        <w:t>- [</w:t>
      </w:r>
      <w:r>
        <w:rPr>
          <w:rFonts w:ascii="Consolas" w:hAnsi="Consolas"/>
          <w:sz w:val="20"/>
        </w:rPr>
        <w:t>docs/analysis/case-21-pereotsenka-scenariev-6-i-4-po-kriteriyam-priemki.md</w:t>
      </w:r>
      <w:r>
        <w:t>](case-21-pereotsenka-scenariev-6-i-4-po-kriteriyam-priemki.md) — формальный статус приёмки пилота (вопрос 15).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