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alibri" w:cs="Calibri" w:eastAsia="Calibri" w:hAnsi="Calibri"/>
          <w:b/>
          <w:bCs/>
          <w:color w:val="2F7A6E"/>
          <w:spacing w:val="60"/>
          <w:sz w:val="22"/>
          <w:szCs w:val="22"/>
        </w:rPr>
        <w:t xml:space="preserve">КАМЕРАТА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2A37"/>
          <w:sz w:val="44"/>
          <w:szCs w:val="44"/>
        </w:rPr>
        <w:t xml:space="preserve">Техническое направление развития платформы</w:t>
      </w:r>
    </w:p>
    <w:p>
      <w:pPr>
        <w:pBdr>
          <w:bottom w:val="single" w:color="2F7A6E" w:sz="8" w:space="8"/>
        </w:pBdr>
        <w:spacing w:after="320"/>
      </w:pPr>
      <w:r>
        <w:rPr>
          <w:rFonts w:ascii="Calibri" w:cs="Calibri" w:eastAsia="Calibri" w:hAnsi="Calibri"/>
          <w:color w:val="5A6672"/>
          <w:sz w:val="26"/>
          <w:szCs w:val="26"/>
        </w:rPr>
        <w:t xml:space="preserve">Q4 2026 · Q1 2027 · Q2 2027 · H2 2027</w:t>
      </w:r>
    </w:p>
    <w:tbl>
      <w:tblPr>
        <w:tblW w:type="dxa" w:w="9020"/>
        <w:tblBorders>
          <w:top w:val="single" w:color="D5DBE0" w:sz="2"/>
          <w:left w:val="single" w:color="2F7A6E" w:sz="18"/>
          <w:bottom w:val="single" w:color="D5DBE0" w:sz="2"/>
          <w:right w:val="single" w:color="D5DBE0" w:sz="2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4F6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20"/>
                <w:szCs w:val="20"/>
              </w:rPr>
              <w:t xml:space="preserve">Документ описывает направление развития платформы, а не план поставки. </w:t>
            </w:r>
            <w:r>
              <w:rPr>
                <w:rFonts w:ascii="Calibri" w:cs="Calibri" w:eastAsia="Calibri" w:hAnsi="Calibri"/>
                <w:color w:val="2B3138"/>
                <w:sz w:val="20"/>
                <w:szCs w:val="20"/>
              </w:rPr>
              <w:t xml:space="preserve">Обязательства по срокам, составу и приёмке возникают исключительно в техническом задании и договоре на конкретное внедрение. Состав работ горизонта H2 2027 может измениться.</w:t>
            </w:r>
          </w:p>
        </w:tc>
      </w:tr>
    </w:tbl>
    <w:p>
      <w:pPr>
        <w:spacing w:after="240" w:before="160" w:line="264"/>
      </w:pPr>
      <w:r>
        <w:rPr>
          <w:rFonts w:ascii="Calibri" w:cs="Calibri" w:eastAsia="Calibri" w:hAnsi="Calibri"/>
          <w:color w:val="5A6672"/>
          <w:sz w:val="18"/>
          <w:szCs w:val="18"/>
        </w:rPr>
        <w:t xml:space="preserve">Редакция от 28 августа 2026 года.</w:t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Как читать документ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Развитие платформы сгруппировано по кварталам. Внутри квартала пункты отнесены к одной из шести линий, соответствующих подсистемам платформы: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Каталог — каталог показателей и семантический слой над данными.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Надзор — контроль действий агентов, происхождение данных и аудит.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Хранение — хранилище, витрины, обслуживание таблиц и стоимость расчётов.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Раб. места — агент на рабочей станции пользователя.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Эксплуатация — поставка, установка, обновление и сопровождение.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Интеграции — подключение внешних источников содержания и каналов доставки результата.</w:t>
      </w:r>
    </w:p>
    <w:p>
      <w:pPr>
        <w:spacing w:after="120" w:before="12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Сквозная нумерация пунктов (КАТ-, НАД-, ХРН-, РМ-, ЭКС-, ИНТ-) стабильна между редакциями документа: на неё можно ссылаться при обсуждении внедрения.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Степень уверенности</w:t>
      </w:r>
    </w:p>
    <w:tbl>
      <w:tblPr>
        <w:tblW w:type="dxa" w:w="9020"/>
        <w:tblBorders>
          <w:top w:val="single" w:color="D5DBE0" w:sz="4"/>
          <w:left w:val="single" w:color="D5DBE0" w:sz="4"/>
          <w:bottom w:val="single" w:color="D5DBE0" w:sz="4"/>
          <w:right w:val="single" w:color="D5DBE0" w:sz="4"/>
          <w:insideH w:val="single" w:color="D5DBE0" w:sz="4"/>
          <w:insideV w:val="single" w:color="D5DBE0" w:sz="4"/>
        </w:tblBorders>
      </w:tblPr>
      <w:tblGrid>
        <w:gridCol w:w="700"/>
        <w:gridCol w:w="8320"/>
      </w:tblGrid>
      <w:tr>
        <w:trPr>
          <w:tblHeader/>
        </w:trPr>
        <w:tc>
          <w:tcPr>
            <w:tcW w:type="dxa" w:w="7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Ур.</w:t>
            </w:r>
          </w:p>
        </w:tc>
        <w:tc>
          <w:tcPr>
            <w:tcW w:type="dxa" w:w="832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A</w:t>
            </w:r>
          </w:p>
        </w:tc>
        <w:tc>
          <w:tcPr>
            <w:tcW w:type="dxa" w:w="83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Реализовано в продукте, в указанном квартале выходит на стенды заказчиков.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B</w:t>
            </w:r>
          </w:p>
        </w:tc>
        <w:tc>
          <w:tcPr>
            <w:tcW w:type="dxa" w:w="83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Запланировано, архитектура и ресурс определены.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C</w:t>
            </w:r>
          </w:p>
        </w:tc>
        <w:tc>
          <w:tcPr>
            <w:tcW w:type="dxa" w:w="83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Направление, архитектурное решение подтверждено, состав уточняется.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D</w:t>
            </w:r>
          </w:p>
        </w:tc>
        <w:tc>
          <w:tcPr>
            <w:tcW w:type="dxa" w:w="83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Исследовательский горизонт, состав ориентировочный.</w:t>
            </w:r>
          </w:p>
        </w:tc>
      </w:tr>
    </w:tbl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Режимы развёртывания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Платформа поставляется в двух режимах, различающихся политикой внешних соединений.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2B3138"/>
          <w:sz w:val="20"/>
          <w:szCs w:val="20"/>
        </w:rPr>
        <w:t xml:space="preserve">Изолированный контур. </w:t>
      </w:r>
      <w:r>
        <w:rPr>
          <w:rFonts w:ascii="Calibri" w:cs="Calibri" w:eastAsia="Calibri" w:hAnsi="Calibri"/>
          <w:color w:val="2B3138"/>
          <w:sz w:val="20"/>
          <w:szCs w:val="20"/>
        </w:rPr>
        <w:t xml:space="preserve">Работа внутри периметра заказчика без обращений во внешние сети: собственная плоскость инференса, локальные модели эмбеддингов, поставка обновлений офлайн-образами, маскирование и контроль доступа на стороне заказчика. Базовый функционал — каталог показателей, надзор за агентами, витрины, аудит — доступен в этом режиме полностью.</w:t>
      </w:r>
    </w:p>
    <w:p>
      <w:pPr>
        <w:spacing w:after="200" w:before="0" w:line="264"/>
      </w:pPr>
      <w:r>
        <w:rPr>
          <w:rFonts w:ascii="Calibri" w:cs="Calibri" w:eastAsia="Calibri" w:hAnsi="Calibri"/>
          <w:b/>
          <w:bCs/>
          <w:color w:val="2B3138"/>
          <w:sz w:val="20"/>
          <w:szCs w:val="20"/>
        </w:rPr>
        <w:t xml:space="preserve">Подключённый контур. </w:t>
      </w:r>
      <w:r>
        <w:rPr>
          <w:rFonts w:ascii="Calibri" w:cs="Calibri" w:eastAsia="Calibri" w:hAnsi="Calibri"/>
          <w:color w:val="2B3138"/>
          <w:sz w:val="20"/>
          <w:szCs w:val="20"/>
        </w:rPr>
        <w:t xml:space="preserve">Дополнительно разрешаются интеграции с внешними сервисами: корпоративная почта, объектные хранилища, каталоги предприятия. Каждая интеграция включается явно и работает в границах выданных ей прав.</w:t>
      </w:r>
    </w:p>
    <w:tbl>
      <w:tblPr>
        <w:tblW w:type="dxa" w:w="9020"/>
        <w:tblBorders>
          <w:top w:val="single" w:color="D5DBE0" w:sz="2"/>
          <w:left w:val="single" w:color="2F7A6E" w:sz="18"/>
          <w:bottom w:val="single" w:color="D5DBE0" w:sz="2"/>
          <w:right w:val="single" w:color="D5DBE0" w:sz="2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4F6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20"/>
                <w:szCs w:val="20"/>
              </w:rPr>
              <w:t xml:space="preserve">Ограничение, которое сохраняется в обоих режимах: </w:t>
            </w:r>
            <w:r>
              <w:rPr>
                <w:rFonts w:ascii="Calibri" w:cs="Calibri" w:eastAsia="Calibri" w:hAnsi="Calibri"/>
                <w:color w:val="2B3138"/>
                <w:sz w:val="20"/>
                <w:szCs w:val="20"/>
              </w:rPr>
              <w:t xml:space="preserve">ни один элемент базового функционала не требует внешних вызовов. Внешние интеграции поставляются отдельными коннекторами и не являются предпосылкой для работы платформы. Заказчик, работающий в изолированном контуре, не теряет функциональности — он теряет только сами внешние интеграции.</w:t>
            </w:r>
          </w:p>
        </w:tc>
      </w:tr>
    </w:tbl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Q4 2026 — согласованные показатели и контроль над агентами</w:t>
      </w:r>
    </w:p>
    <w:p>
      <w:pPr>
        <w:spacing w:after="16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Квартал закрывает два вопроса: ответ на вопрос по данным начинает считаться по утверждённой формуле из каталога, а состав агентов, моделей и их доступов становится наблюдаемым. Параллельно открывается линия интеграций — корпоративная почта как канал доставки и как источник содержания.</w:t>
      </w:r>
    </w:p>
    <w:tbl>
      <w:tblPr>
        <w:tblW w:type="dxa" w:w="9020"/>
        <w:tblBorders>
          <w:top w:val="single" w:color="D5DBE0" w:sz="4"/>
          <w:left w:val="single" w:color="D5DBE0" w:sz="4"/>
          <w:bottom w:val="single" w:color="D5DBE0" w:sz="4"/>
          <w:right w:val="single" w:color="D5DBE0" w:sz="4"/>
          <w:insideH w:val="single" w:color="D5DBE0" w:sz="4"/>
          <w:insideV w:val="single" w:color="D5DBE0" w:sz="4"/>
        </w:tblBorders>
      </w:tblPr>
      <w:tblGrid>
        <w:gridCol w:w="900"/>
        <w:gridCol w:w="1560"/>
        <w:gridCol w:w="5860"/>
        <w:gridCol w:w="700"/>
      </w:tblGrid>
      <w:tr>
        <w:trPr>
          <w:tblHeader/>
        </w:trPr>
        <w:tc>
          <w:tcPr>
            <w:tcW w:type="dxa" w:w="9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Код</w:t>
            </w:r>
          </w:p>
        </w:tc>
        <w:tc>
          <w:tcPr>
            <w:tcW w:type="dxa" w:w="15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Линия</w:t>
            </w:r>
          </w:p>
        </w:tc>
        <w:tc>
          <w:tcPr>
            <w:tcW w:type="dxa" w:w="58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Что появляется</w:t>
            </w:r>
          </w:p>
        </w:tc>
        <w:tc>
          <w:tcPr>
            <w:tcW w:type="dxa" w:w="7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Ур.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Показатель как объект каталога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формула, гранулярность, фильтры, владелец, привязка к источникам. Агент обращается к показателю по имени.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Наполнение каталога показателей из бизнес-глоссария КХД заказчика.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Ответ из каталога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вопрос на естественном языке разрешается в показатель, а не в свободный SQL; расхождение фиксируется явно.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Реестр доступов агентов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какой агент, к каким источникам и с какой моделью работает; изменение состава фиксируется.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Признак «создано моделью»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у производных данных, наследуемый по цепочке преобразований.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Контур подтверждения действий: операции заданного класса выполняются только после явного согласия оператора.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Единая оркестрация расчётов; </w:t>
            </w: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конструктор витрин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— сборка витрины без ручного кода.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Воспроизводимые офлайн-образы поставки; фиксированный состав компонентов версии.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Оформление интерфейса под фирменный стиль заказчика.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Настраиваемые оповещения о качестве данных и состоянии расчётов.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ИНТ-1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Доставка отчётов и оповещений в корпоративную почту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Microsoft 365 / Exchange, а также SMTP-релей в контуре заказчика.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ИНТ-2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Чтение выделенных почтовых ящиков и папок как источника данных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(Microsoft 365 через Microsoft Graph; IMAP поддерживается). Область доступа ограничена явно заданным перечнем ящиков и папок.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Что потребуется со стороны заказчика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Кластер Kubernetes согласованной версии, доступ к источникам КХД, ресурсы под инференс.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Назначенный владелец каталога показателей со стороны заказчика.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Согласование первых 20–30 показателей с бизнес-подразделениями — определяющий фактор сроков этого этапа.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Решение о периоде удержания журналов аудита.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Для линии «Интеграции»: регистрация приложения в каталоге Microsoft Entra ID с правами, ограниченными выделенными ящиками, и учётная запись SMTP-релея.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Перечень почтовых ящиков и папок, включаемых в область чтения, и согласование обработки переписки со службой информационной безопасности.</w:t>
      </w:r>
    </w:p>
    <w:p>
      <w:r>
        <w:br w:type="page"/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Q1 2027 — данные как продукт и стоимость в деньгах</w:t>
      </w:r>
    </w:p>
    <w:p>
      <w:pPr>
        <w:spacing w:after="16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Витрина получает паспорт и контракт, стоимость её расчёта выражается в рублях, установка в изолированном контуре выполняется единым установщиком. Отдельно начинается линия агента рабочего места.</w:t>
      </w:r>
    </w:p>
    <w:tbl>
      <w:tblPr>
        <w:tblW w:type="dxa" w:w="9020"/>
        <w:tblBorders>
          <w:top w:val="single" w:color="D5DBE0" w:sz="4"/>
          <w:left w:val="single" w:color="D5DBE0" w:sz="4"/>
          <w:bottom w:val="single" w:color="D5DBE0" w:sz="4"/>
          <w:right w:val="single" w:color="D5DBE0" w:sz="4"/>
          <w:insideH w:val="single" w:color="D5DBE0" w:sz="4"/>
          <w:insideV w:val="single" w:color="D5DBE0" w:sz="4"/>
        </w:tblBorders>
      </w:tblPr>
      <w:tblGrid>
        <w:gridCol w:w="900"/>
        <w:gridCol w:w="1560"/>
        <w:gridCol w:w="5860"/>
        <w:gridCol w:w="700"/>
      </w:tblGrid>
      <w:tr>
        <w:trPr>
          <w:tblHeader/>
        </w:trPr>
        <w:tc>
          <w:tcPr>
            <w:tcW w:type="dxa" w:w="9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Код</w:t>
            </w:r>
          </w:p>
        </w:tc>
        <w:tc>
          <w:tcPr>
            <w:tcW w:type="dxa" w:w="15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Линия</w:t>
            </w:r>
          </w:p>
        </w:tc>
        <w:tc>
          <w:tcPr>
            <w:tcW w:type="dxa" w:w="58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Что появляется</w:t>
            </w:r>
          </w:p>
        </w:tc>
        <w:tc>
          <w:tcPr>
            <w:tcW w:type="dxa" w:w="7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Ур.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Паспорт витрины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назначение, состав, владелец, регламент обновления, ограничения применимости.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КАТ-5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Контракт данных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с проверкой на входе: нарушение схемы или качества выявляется до загрузки, а не после.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КАТ-6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Публикация показателей во внешние потребители — согласованные значения доступны и в диалоговом интерфейсе, и в BI.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Расширение аудита на инструменты и вызовы, выполняемые агентом внутри контура.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Поддержка табличного формата </w:t>
            </w: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Apache Iceberg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чтение, запись, обслуживание таблиц.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Учёт потребления ресурсов на уровне прогона с пересчётом </w:t>
            </w: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в денежную стоимость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РМ-1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Раб. места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Служба чтения локальных файлов на рабочей станции (Windows, macOS) с явной моделью запретов.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РМ-2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Раб. места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Установка пакетом MSI, подпись </w:t>
            </w: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корпоративным центром сертификации заказчика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, управление через групповые политики.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Установка «под ключ»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в изолированном контуре: единый установщик, контроль лицензии, проверка окружения.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ЭКС-5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Контроль состояния платформы через диалоговый интерфейс: запрос статуса, разбор сбоя расчёта.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ИНТ-3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Интеграции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Распространение политик доступа и маскирования на почтовые источники; учёт почтовых ящиков в реестре доступов агентов (НАД-1).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Что потребуется со стороны заказчика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Объектное хранилище под формат Iceberg.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Учётные записи и роли в каталоге предприятия (AD/LDAP).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Регламент паспорта витрины и контракта данных; назначенные владельцы доменов данных.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Для линии «Раб. места»: корпоративный центр сертификации для подписи агента и политики распространения ПО. Модель подписи в изолированном контуре (внутренний ЦС, групповые политики или MDM) требует отдельного решения заказчика.</w:t>
      </w:r>
    </w:p>
    <w:p>
      <w:r>
        <w:br w:type="page"/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Q2 2027 — восстановимость и эксплуатационная зрелость</w:t>
      </w:r>
    </w:p>
    <w:p>
      <w:pPr>
        <w:spacing w:after="16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Действия агента становятся восстановимыми на всю глубину для определённого класса операций, обслуживание Iceberg выходит на полный цикл, стоимость витрины считается за период и сопоставляется с эффектом.</w:t>
      </w:r>
    </w:p>
    <w:tbl>
      <w:tblPr>
        <w:tblW w:type="dxa" w:w="9020"/>
        <w:tblBorders>
          <w:top w:val="single" w:color="D5DBE0" w:sz="4"/>
          <w:left w:val="single" w:color="D5DBE0" w:sz="4"/>
          <w:bottom w:val="single" w:color="D5DBE0" w:sz="4"/>
          <w:right w:val="single" w:color="D5DBE0" w:sz="4"/>
          <w:insideH w:val="single" w:color="D5DBE0" w:sz="4"/>
          <w:insideV w:val="single" w:color="D5DBE0" w:sz="4"/>
        </w:tblBorders>
      </w:tblPr>
      <w:tblGrid>
        <w:gridCol w:w="900"/>
        <w:gridCol w:w="1560"/>
        <w:gridCol w:w="5860"/>
        <w:gridCol w:w="700"/>
      </w:tblGrid>
      <w:tr>
        <w:trPr>
          <w:tblHeader/>
        </w:trPr>
        <w:tc>
          <w:tcPr>
            <w:tcW w:type="dxa" w:w="9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Код</w:t>
            </w:r>
          </w:p>
        </w:tc>
        <w:tc>
          <w:tcPr>
            <w:tcW w:type="dxa" w:w="15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Линия</w:t>
            </w:r>
          </w:p>
        </w:tc>
        <w:tc>
          <w:tcPr>
            <w:tcW w:type="dxa" w:w="58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Что появляется</w:t>
            </w:r>
          </w:p>
        </w:tc>
        <w:tc>
          <w:tcPr>
            <w:tcW w:type="dxa" w:w="7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Ур.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КАТ-7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Расширение покрытия показателями по доменам данных; связь показателя с ценой его расчёта.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НАД-5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Сквозной след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: вопрос → инструменты → данные → модель → ответ, восстановимый для определённого класса действий.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Полный цикл обслуживания Iceberg: компакция, ретеншн, эволюция схемы.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ХРН-5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Стоимость владения витриной за период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 и сопоставление с полученным эффектом.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РМ-3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Раб. места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Расширение сценариев работы с локальным контекстом пользователя.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ЭКС-6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Автоматическое предложение правил контроля качества по профилю данных.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Что потребуется со стороны заказчика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Хранение журналов аудита за согласованный период удержания.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Регламент доступа внутреннего аудита к сквозному следу действий агентов.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Согласованное окно для работ по обслуживанию таблиц.</w:t>
      </w:r>
    </w:p>
    <w:p>
      <w:r>
        <w:br w:type="page"/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H2 2027 — масштаб и автономность</w:t>
      </w:r>
    </w:p>
    <w:p>
      <w:pPr>
        <w:spacing w:after="16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Горизонт исследовательский: помощник стюарда данных, неизменяемый журнал аудита, распределённое владение данными и обслуживание нескольких изолированных контуров. Состав работ и требования к инфраструктуре заказчика уточняются по мере готовности архитектуры.</w:t>
      </w:r>
    </w:p>
    <w:tbl>
      <w:tblPr>
        <w:tblW w:type="dxa" w:w="9020"/>
        <w:tblBorders>
          <w:top w:val="single" w:color="D5DBE0" w:sz="4"/>
          <w:left w:val="single" w:color="D5DBE0" w:sz="4"/>
          <w:bottom w:val="single" w:color="D5DBE0" w:sz="4"/>
          <w:right w:val="single" w:color="D5DBE0" w:sz="4"/>
          <w:insideH w:val="single" w:color="D5DBE0" w:sz="4"/>
          <w:insideV w:val="single" w:color="D5DBE0" w:sz="4"/>
        </w:tblBorders>
      </w:tblPr>
      <w:tblGrid>
        <w:gridCol w:w="900"/>
        <w:gridCol w:w="1560"/>
        <w:gridCol w:w="5860"/>
        <w:gridCol w:w="700"/>
      </w:tblGrid>
      <w:tr>
        <w:trPr>
          <w:tblHeader/>
        </w:trPr>
        <w:tc>
          <w:tcPr>
            <w:tcW w:type="dxa" w:w="9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Код</w:t>
            </w:r>
          </w:p>
        </w:tc>
        <w:tc>
          <w:tcPr>
            <w:tcW w:type="dxa" w:w="15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Линия</w:t>
            </w:r>
          </w:p>
        </w:tc>
        <w:tc>
          <w:tcPr>
            <w:tcW w:type="dxa" w:w="586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Что появляется</w:t>
            </w:r>
          </w:p>
        </w:tc>
        <w:tc>
          <w:tcPr>
            <w:tcW w:type="dxa" w:w="700"/>
            <w:shd w:fill="EEF1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7"/>
                <w:sz w:val="18"/>
                <w:szCs w:val="18"/>
              </w:rPr>
              <w:t xml:space="preserve">Ур.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КАТ-8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Помощник стюарда данных: предложения описаний и правил качества </w:t>
            </w: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с обязательным подтверждением человеком</w:t>
            </w: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КАТ-9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Графовое представление связей между показателями, витринами и источниками.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НАД-6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Надзор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Защита журнала аудита от изменения задним числом (связывание записей хэш-цепочкой).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ХРН-6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Распределённая модель владения данными между подразделениями группы.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РМ-4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Раб. места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Дальнейшие фазы агента рабочего места.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F7A6E"/>
                <w:sz w:val="18"/>
                <w:szCs w:val="18"/>
              </w:rPr>
              <w:t xml:space="preserve">ЭКС-7</w:t>
            </w:r>
          </w:p>
        </w:tc>
        <w:tc>
          <w:tcPr>
            <w:tcW w:type="dxa" w:w="1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5A6672"/>
                <w:sz w:val="18"/>
                <w:szCs w:val="18"/>
              </w:rPr>
              <w:t xml:space="preserve">Эксплуатация</w:t>
            </w:r>
          </w:p>
        </w:tc>
        <w:tc>
          <w:tcPr>
            <w:tcW w:type="dxa" w:w="5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B3138"/>
                <w:sz w:val="19"/>
                <w:szCs w:val="19"/>
              </w:rPr>
              <w:t xml:space="preserve">Обслуживание нескольких изолированных контуров одной установкой (для групп и холдингов).</w:t>
            </w:r>
          </w:p>
        </w:tc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3138"/>
                <w:sz w:val="19"/>
                <w:szCs w:val="19"/>
              </w:rPr>
              <w:t xml:space="preserve">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Совместимость, версии и обновления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Обратная совместимость интерфейсов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Программные интерфейсы платформы развиваются с сохранением обратной совместимости в пределах мажорной версии. Изменения, нарушающие совместимость, выносятся в мажорный выпуск и объявляются не позднее чем за один квартал до выхода.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Переход на Iceberg не требует переписывания существующих витрин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Формат хранения меняется под неизменным слоем доступа. Переход выполняется по доменам данных, старый и новый формат сосуществуют в течение периода миграции, возврат к исходному формату возможен на всём протяжении перехода.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Поддержка предыдущих версий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Поддерживаются текущая и предыдущая мажорные версии. Заказчик не обязан обновляться в темпе выхода версий: пропуск версии допускается, обновление выполняется последовательно.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Обновление в изолированном контуре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Обновления поставляются офлайн-пакетом с проверкой целостности, устанавливаются в согласованное окно и допускают откат на предыдущую версию. Обращение платформы к внешним сетям при обновлении не требуется.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Каталог показателей переживает обновления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Формулы, паспорта и контракты хранятся в формате, не зависящем от версии платформы, и выгружаются целиком.</w:t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Границы продукта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Область применения платформы очерчена явно, чтобы её место в ландшафте заказчика было однозначным.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Не заменяет BI. Платформа отдаёт согласованные значения показателей; визуализация и регламентная отчётность остаются за существующими средствами.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Не является системой управления мастер-данными. Платформа потребляет справочники, но не берёт на себя их ведение как отдельный продукт.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Не работает во фронт-офисе и не решает задачи антифрода. Область применения — аналитика и работа с данными, не операции с клиентом в реальном времени.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Не формирует регуляторную отчётность. Данные для неё могут готовиться в платформе, но формирование и подпись форм остаются во внешних системах.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Не рассчитана на обслуживание нескольких изолированных контуров до H2 2027 (см. ЭКС-7).</w:t>
      </w:r>
    </w:p>
    <w:p>
      <w:pPr>
        <w:pStyle w:val="Heading1"/>
        <w:pBdr>
          <w:bottom w:val="single" w:color="2F7A6E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2A37"/>
          <w:sz w:val="30"/>
          <w:szCs w:val="30"/>
        </w:rPr>
        <w:t xml:space="preserve">Порядок пересмотра</w:t>
      </w:r>
    </w:p>
    <w:p>
      <w:pPr>
        <w:spacing w:after="120" w:before="0" w:line="264"/>
      </w:pPr>
      <w:r>
        <w:rPr>
          <w:rFonts w:ascii="Calibri" w:cs="Calibri" w:eastAsia="Calibri" w:hAnsi="Calibri"/>
          <w:color w:val="2B3138"/>
          <w:sz w:val="20"/>
          <w:szCs w:val="20"/>
        </w:rPr>
        <w:t xml:space="preserve">Документ пересматривается ежеквартально. Пункты уровня A и B переносятся в состав ближайших внедрений; уровни C и D уточняются по мере готовности архитектуры. Изменение состава пунктов уровня C и D не является изменением обязательств.</w:t>
      </w:r>
    </w:p>
    <w:sectPr>
      <w:footerReference w:type="default" r:id="rId7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0999F"/>
        <w:sz w:val="16"/>
        <w:szCs w:val="16"/>
      </w:rPr>
      <w:t xml:space="preserve">Камерата · техническое направление развития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Камерата — техническое направление развития</dc:title>
  <dc:creator>ЕГАР Сервис</dc:creator>
  <cp:lastModifiedBy>Un-named</cp:lastModifiedBy>
  <cp:revision>1</cp:revision>
  <dcterms:created xsi:type="dcterms:W3CDTF">2026-08-28T07:42:59.258Z</dcterms:created>
  <dcterms:modified xsi:type="dcterms:W3CDTF">2026-08-28T07:42:59.258Z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