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Вопросы и ответы: пользователи, роли и настройки чата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17.08.2026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4200"/>
        <w:gridCol w:w="4640"/>
      </w:tblGrid>
      <w:tr>
        <w:trPr>
          <w:tblHeader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доступ для ИБ-шников с возможностью работать с настройками анонимизатора без возможности работать с прочими настройками, типа источников данных, лимитов и т.п.?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 Каталоге заводим как обычного пользователя (не администратора), а доступ в «Рабочее место ИБ» даём отдельно — через «Сотрудники ИБ» с ролью «Оператор ИБ» (для ограниченного доступа) или «Администратор ИБ» (для полного).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Чем отличаются роли ИБ Администратор и Оператор ИБ? В описании написано так: Роль* — выберите «Администратор» (второй вариант — «Оператор ИБ», более узкие права).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Оператор ИБ не может править пользователей ИБ и настройки безопасности. Администратор — может.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в админке перевести пользователя из категории "Пользователь" в "Админстраторы"?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Просто дать роль админа — зайти в Каталог и прописать пользователя в разделе «Админ».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Через какое-то время бездействия (?) в интерфейсе чата приложение переходит на URL https://app.local:8080/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Известная проблема —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Кстати, корп. цвета d8 в дизайне отвалились. Но это не страшно, оставьте в дефолтной раскраске.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Оставляем пока дефолтную раскраску.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настроить модель по умолчанию? В чате модель регулярно слетает на первую из списка.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Можно ли показать список базовых маскированных элементов?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но потребуются изменения в системе —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так, чтобы переменная в протоколах была не [CUSTOM_6], а, например, [AGREEMENT_6]?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Через экран «Regex-паттерны» нельзя — тип токена там закрытый список (PERSON/PROJECT/COMPANY/PRODUCT/CUSTOM), свой префикс сейчас не вписать.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Я правильно понимаю, что можно либо авторизовываться по ЛДАП, либо локально? Т.е. и так и так не работает?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для входа в Каталог это именно либо/либо — один провайдер на всех.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Сейчас можно настроить авторизацию для 2-х доменов?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Обсуждали ещё на этапе пилота — это доработка, и не столько техническая, сколько методологическая (как сопоставлять роли и пользователей между доменами).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При выводе ответа в чате указывается время, в которое был отправлен пользователем запрос, а не время выдачи ответа. Поправьте.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Не подтвердилось — проверено на примере с переходом через границу минуты: запрос 13:44, ответ 13:45 (обдумывание 33.8 с), метки разные и соответствуют реальному времени выдачи.</w:t>
            </w:r>
          </w:p>
        </w:tc>
      </w:tr>
    </w:tbl>
    <w:p>
      <w:pPr>
        <w:pStyle w:val="Heading1"/>
        <w:spacing w:after="140" w:before="38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Взято в разработку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300"/>
        <w:gridCol w:w="2100"/>
      </w:tblGrid>
      <w:tr>
        <w:trPr>
          <w:tblHeader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Пункт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Срок выполнения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Редирект на app.local:8080 после бездействия в чате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Модель по умолчанию слетает на первую в списке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Список базовых маскируемых элементов (встроенных типов PII)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Кастомный префикс токена — [AGREEMENT_N] вместо [CUSTOM_N]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2026-08-19T10:47:13.686Z</dcterms:created>
  <dcterms:modified xsi:type="dcterms:W3CDTF">2026-08-19T10:47:13.687Z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