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E2761"/>
          <w:sz w:val="32"/>
          <w:szCs w:val="32"/>
        </w:rPr>
        <w:t xml:space="preserve">Протокол теста: Сценарий 3 (Bitrix + DWH)</w:t>
      </w:r>
    </w:p>
    <w:p>
      <w:pPr>
        <w:spacing w:after="280"/>
      </w:pPr>
      <w:r>
        <w:rPr>
          <w:i/>
          <w:iCs/>
          <w:color w:val="5C6B7A"/>
          <w:sz w:val="22"/>
          <w:szCs w:val="22"/>
        </w:rPr>
        <w:t xml:space="preserve">Стабильность выдачи данных — серия из 7 запросов, 16:01–16:20</w:t>
      </w:r>
    </w:p>
    <w:p>
      <w:pPr>
        <w:spacing w:after="160"/>
      </w:pPr>
      <w:r>
        <w:t xml:space="preserve">Серия из 7 запросов подряд в одну сессию чата, все — комбинация источников </w:t>
      </w:r>
      <w:r>
        <w:rPr>
          <w:rFonts w:ascii="Consolas" w:cs="Consolas" w:eastAsia="Consolas" w:hAnsi="Consolas"/>
          <w:sz w:val="19"/>
          <w:szCs w:val="19"/>
        </w:rPr>
        <w:t xml:space="preserve">bitrix.crm.default.items</w:t>
      </w:r>
      <w:r>
        <w:t xml:space="preserve"> и </w:t>
      </w:r>
      <w:r>
        <w:rPr>
          <w:rFonts w:ascii="Consolas" w:cs="Consolas" w:eastAsia="Consolas" w:hAnsi="Consolas"/>
          <w:sz w:val="19"/>
          <w:szCs w:val="19"/>
        </w:rPr>
        <w:t xml:space="preserve">"test DWH".dwh.report.account</w:t>
      </w:r>
      <w:r>
        <w:t xml:space="preserve">. Цель — проверить гипотезу команды: </w:t>
      </w:r>
      <w:r>
        <w:rPr>
          <w:b/>
          <w:bCs/>
        </w:rPr>
        <w:t xml:space="preserve">шина Bitrix работает нестабильно, отказывает на больших запросах.</w:t>
      </w:r>
    </w:p>
    <w:p>
      <w:pPr>
        <w:pStyle w:val="Heading1"/>
        <w:spacing w:after="140" w:before="320"/>
      </w:pPr>
      <w:r>
        <w:t xml:space="preserve">Ход теста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700"/>
        <w:gridCol w:w="3100"/>
        <w:gridCol w:w="2900"/>
        <w:gridCol w:w="1900"/>
        <w:gridCol w:w="1100"/>
      </w:tblGrid>
      <w:tr>
        <w:tc>
          <w:tcPr>
            <w:tcW w:type="dxa" w:w="500"/>
            <w:tcBorders>
              <w:top w:val="single" w:color="D2DADF" w:sz="2"/>
              <w:left w:val="single" w:color="D2DADF" w:sz="2"/>
              <w:bottom w:val="single" w:color="D2DADF" w:sz="2"/>
              <w:right w:val="single" w:color="D2DADF" w:sz="2"/>
            </w:tcBorders>
            <w:shd w:fill="EDF1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5C6B7A"/>
                <w:sz w:val="17"/>
                <w:szCs w:val="17"/>
              </w:rPr>
              <w:t xml:space="preserve">№</w:t>
            </w:r>
          </w:p>
        </w:tc>
        <w:tc>
          <w:tcPr>
            <w:tcW w:type="dxa" w:w="700"/>
            <w:tcBorders>
              <w:top w:val="single" w:color="D2DADF" w:sz="2"/>
              <w:left w:val="single" w:color="D2DADF" w:sz="2"/>
              <w:bottom w:val="single" w:color="D2DADF" w:sz="2"/>
              <w:right w:val="single" w:color="D2DADF" w:sz="2"/>
            </w:tcBorders>
            <w:shd w:fill="EDF1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5C6B7A"/>
                <w:sz w:val="17"/>
                <w:szCs w:val="17"/>
              </w:rPr>
              <w:t xml:space="preserve">Время</w:t>
            </w:r>
          </w:p>
        </w:tc>
        <w:tc>
          <w:tcPr>
            <w:tcW w:type="dxa" w:w="3100"/>
            <w:tcBorders>
              <w:top w:val="single" w:color="D2DADF" w:sz="2"/>
              <w:left w:val="single" w:color="D2DADF" w:sz="2"/>
              <w:bottom w:val="single" w:color="D2DADF" w:sz="2"/>
              <w:right w:val="single" w:color="D2DADF" w:sz="2"/>
            </w:tcBorders>
            <w:shd w:fill="EDF1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5C6B7A"/>
                <w:sz w:val="17"/>
                <w:szCs w:val="17"/>
              </w:rPr>
              <w:t xml:space="preserve">Запрос</w:t>
            </w:r>
          </w:p>
        </w:tc>
        <w:tc>
          <w:tcPr>
            <w:tcW w:type="dxa" w:w="2900"/>
            <w:tcBorders>
              <w:top w:val="single" w:color="D2DADF" w:sz="2"/>
              <w:left w:val="single" w:color="D2DADF" w:sz="2"/>
              <w:bottom w:val="single" w:color="D2DADF" w:sz="2"/>
              <w:right w:val="single" w:color="D2DADF" w:sz="2"/>
            </w:tcBorders>
            <w:shd w:fill="EDF1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5C6B7A"/>
                <w:sz w:val="17"/>
                <w:szCs w:val="17"/>
              </w:rPr>
              <w:t xml:space="preserve">Источник(и)</w:t>
            </w:r>
          </w:p>
        </w:tc>
        <w:tc>
          <w:tcPr>
            <w:tcW w:type="dxa" w:w="1900"/>
            <w:tcBorders>
              <w:top w:val="single" w:color="D2DADF" w:sz="2"/>
              <w:left w:val="single" w:color="D2DADF" w:sz="2"/>
              <w:bottom w:val="single" w:color="D2DADF" w:sz="2"/>
              <w:right w:val="single" w:color="D2DADF" w:sz="2"/>
            </w:tcBorders>
            <w:shd w:fill="EDF1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5C6B7A"/>
                <w:sz w:val="17"/>
                <w:szCs w:val="17"/>
              </w:rPr>
              <w:t xml:space="preserve">Результат</w:t>
            </w:r>
          </w:p>
        </w:tc>
        <w:tc>
          <w:tcPr>
            <w:tcW w:type="dxa" w:w="1100"/>
            <w:tcBorders>
              <w:top w:val="single" w:color="D2DADF" w:sz="2"/>
              <w:left w:val="single" w:color="D2DADF" w:sz="2"/>
              <w:bottom w:val="single" w:color="D2DADF" w:sz="2"/>
              <w:right w:val="single" w:color="D2DADF" w:sz="2"/>
            </w:tcBorders>
            <w:shd w:fill="EDF1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5C6B7A"/>
                <w:sz w:val="17"/>
                <w:szCs w:val="17"/>
              </w:rPr>
              <w:t xml:space="preserve">Обдум.</w:t>
            </w:r>
          </w:p>
        </w:tc>
      </w:tr>
      <w:tr>
        <w:tc>
          <w:tcPr>
            <w:tcW w:type="dxa" w:w="500"/>
            <w:tcBorders>
              <w:top w:val="single" w:color="D2DADF" w:sz="2"/>
              <w:left w:val="single" w:color="D2DADF" w:sz="2"/>
              <w:bottom w:val="single" w:color="D2DADF" w:sz="2"/>
              <w:right w:val="single" w:color="D2DAD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7212B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Borders>
              <w:top w:val="single" w:color="D2DADF" w:sz="2"/>
              <w:left w:val="single" w:color="D2DADF" w:sz="2"/>
              <w:bottom w:val="single" w:color="D2DADF" w:sz="2"/>
              <w:right w:val="single" w:color="D2DAD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7212B"/>
                <w:sz w:val="18"/>
                <w:szCs w:val="18"/>
              </w:rPr>
              <w:t xml:space="preserve">16:01</w:t>
            </w:r>
          </w:p>
        </w:tc>
        <w:tc>
          <w:tcPr>
            <w:tcW w:type="dxa" w:w="3100"/>
            <w:tcBorders>
              <w:top w:val="single" w:color="D2DADF" w:sz="2"/>
              <w:left w:val="single" w:color="D2DADF" w:sz="2"/>
              <w:bottom w:val="single" w:color="D2DADF" w:sz="2"/>
              <w:right w:val="single" w:color="D2DAD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7212B"/>
                <w:sz w:val="18"/>
                <w:szCs w:val="18"/>
              </w:rPr>
              <w:t xml:space="preserve">«Покажи мне все счета клиента Ожгихин»</w:t>
            </w:r>
          </w:p>
        </w:tc>
        <w:tc>
          <w:tcPr>
            <w:tcW w:type="dxa" w:w="2900"/>
            <w:tcBorders>
              <w:top w:val="single" w:color="D2DADF" w:sz="2"/>
              <w:left w:val="single" w:color="D2DADF" w:sz="2"/>
              <w:bottom w:val="single" w:color="D2DADF" w:sz="2"/>
              <w:right w:val="single" w:color="D2DAD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7212B"/>
                <w:sz w:val="18"/>
                <w:szCs w:val="18"/>
              </w:rPr>
              <w:t xml:space="preserve">Bitrix + DWH</w:t>
            </w:r>
          </w:p>
        </w:tc>
        <w:tc>
          <w:tcPr>
            <w:tcW w:type="dxa" w:w="1900"/>
            <w:tcBorders>
              <w:top w:val="single" w:color="D2DADF" w:sz="2"/>
              <w:left w:val="single" w:color="D2DADF" w:sz="2"/>
              <w:bottom w:val="single" w:color="D2DADF" w:sz="2"/>
              <w:right w:val="single" w:color="D2DADF" w:sz="2"/>
            </w:tcBorders>
            <w:shd w:fill="E3F1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1E7A4C"/>
                <w:sz w:val="18"/>
                <w:szCs w:val="18"/>
              </w:rPr>
              <w:t xml:space="preserve">Успешно — 23 записи (17 уникальных)</w:t>
            </w:r>
          </w:p>
        </w:tc>
        <w:tc>
          <w:tcPr>
            <w:tcW w:type="dxa" w:w="1100"/>
            <w:tcBorders>
              <w:top w:val="single" w:color="D2DADF" w:sz="2"/>
              <w:left w:val="single" w:color="D2DADF" w:sz="2"/>
              <w:bottom w:val="single" w:color="D2DADF" w:sz="2"/>
              <w:right w:val="single" w:color="D2DAD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7212B"/>
                <w:sz w:val="18"/>
                <w:szCs w:val="18"/>
              </w:rPr>
              <w:t xml:space="preserve">1 мин 06 с</w:t>
            </w:r>
          </w:p>
        </w:tc>
      </w:tr>
      <w:tr>
        <w:tc>
          <w:tcPr>
            <w:tcW w:type="dxa" w:w="500"/>
            <w:tcBorders>
              <w:top w:val="single" w:color="D2DADF" w:sz="2"/>
              <w:left w:val="single" w:color="D2DADF" w:sz="2"/>
              <w:bottom w:val="single" w:color="D2DADF" w:sz="2"/>
              <w:right w:val="single" w:color="D2DAD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7212B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D2DADF" w:sz="2"/>
              <w:left w:val="single" w:color="D2DADF" w:sz="2"/>
              <w:bottom w:val="single" w:color="D2DADF" w:sz="2"/>
              <w:right w:val="single" w:color="D2DAD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7212B"/>
                <w:sz w:val="18"/>
                <w:szCs w:val="18"/>
              </w:rPr>
              <w:t xml:space="preserve">16:04</w:t>
            </w:r>
          </w:p>
        </w:tc>
        <w:tc>
          <w:tcPr>
            <w:tcW w:type="dxa" w:w="3100"/>
            <w:tcBorders>
              <w:top w:val="single" w:color="D2DADF" w:sz="2"/>
              <w:left w:val="single" w:color="D2DADF" w:sz="2"/>
              <w:bottom w:val="single" w:color="D2DADF" w:sz="2"/>
              <w:right w:val="single" w:color="D2DAD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7212B"/>
                <w:sz w:val="18"/>
                <w:szCs w:val="18"/>
              </w:rPr>
              <w:t xml:space="preserve">«Покажи клиентов у которых есть счета»</w:t>
            </w:r>
          </w:p>
        </w:tc>
        <w:tc>
          <w:tcPr>
            <w:tcW w:type="dxa" w:w="2900"/>
            <w:tcBorders>
              <w:top w:val="single" w:color="D2DADF" w:sz="2"/>
              <w:left w:val="single" w:color="D2DADF" w:sz="2"/>
              <w:bottom w:val="single" w:color="D2DADF" w:sz="2"/>
              <w:right w:val="single" w:color="D2DAD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7212B"/>
                <w:sz w:val="18"/>
                <w:szCs w:val="18"/>
              </w:rPr>
              <w:t xml:space="preserve">Bitrix + DWH (широкий, без фильтра по клиенту)</w:t>
            </w:r>
          </w:p>
        </w:tc>
        <w:tc>
          <w:tcPr>
            <w:tcW w:type="dxa" w:w="1900"/>
            <w:tcBorders>
              <w:top w:val="single" w:color="D2DADF" w:sz="2"/>
              <w:left w:val="single" w:color="D2DADF" w:sz="2"/>
              <w:bottom w:val="single" w:color="D2DADF" w:sz="2"/>
              <w:right w:val="single" w:color="D2DADF" w:sz="2"/>
            </w:tcBorders>
            <w:shd w:fill="FBE7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A8393B"/>
                <w:sz w:val="18"/>
                <w:szCs w:val="18"/>
              </w:rPr>
              <w:t xml:space="preserve">Ошибка: «нет доступа к данным источника»</w:t>
            </w:r>
          </w:p>
        </w:tc>
        <w:tc>
          <w:tcPr>
            <w:tcW w:type="dxa" w:w="1100"/>
            <w:tcBorders>
              <w:top w:val="single" w:color="D2DADF" w:sz="2"/>
              <w:left w:val="single" w:color="D2DADF" w:sz="2"/>
              <w:bottom w:val="single" w:color="D2DADF" w:sz="2"/>
              <w:right w:val="single" w:color="D2DAD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7212B"/>
                <w:sz w:val="18"/>
                <w:szCs w:val="18"/>
              </w:rPr>
              <w:t xml:space="preserve">19,1 с</w:t>
            </w:r>
          </w:p>
        </w:tc>
      </w:tr>
      <w:tr>
        <w:tc>
          <w:tcPr>
            <w:tcW w:type="dxa" w:w="500"/>
            <w:tcBorders>
              <w:top w:val="single" w:color="D2DADF" w:sz="2"/>
              <w:left w:val="single" w:color="D2DADF" w:sz="2"/>
              <w:bottom w:val="single" w:color="D2DADF" w:sz="2"/>
              <w:right w:val="single" w:color="D2DAD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7212B"/>
                <w:sz w:val="18"/>
                <w:szCs w:val="18"/>
              </w:rPr>
              <w:t xml:space="preserve">3</w:t>
            </w:r>
          </w:p>
        </w:tc>
        <w:tc>
          <w:tcPr>
            <w:tcW w:type="dxa" w:w="700"/>
            <w:tcBorders>
              <w:top w:val="single" w:color="D2DADF" w:sz="2"/>
              <w:left w:val="single" w:color="D2DADF" w:sz="2"/>
              <w:bottom w:val="single" w:color="D2DADF" w:sz="2"/>
              <w:right w:val="single" w:color="D2DAD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7212B"/>
                <w:sz w:val="18"/>
                <w:szCs w:val="18"/>
              </w:rPr>
              <w:t xml:space="preserve">16:07</w:t>
            </w:r>
          </w:p>
        </w:tc>
        <w:tc>
          <w:tcPr>
            <w:tcW w:type="dxa" w:w="3100"/>
            <w:tcBorders>
              <w:top w:val="single" w:color="D2DADF" w:sz="2"/>
              <w:left w:val="single" w:color="D2DADF" w:sz="2"/>
              <w:bottom w:val="single" w:color="D2DADF" w:sz="2"/>
              <w:right w:val="single" w:color="D2DAD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7212B"/>
                <w:sz w:val="18"/>
                <w:szCs w:val="18"/>
              </w:rPr>
              <w:t xml:space="preserve">«Покажи счета клиента Ожгихин открытые раньше 2023 года»</w:t>
            </w:r>
          </w:p>
        </w:tc>
        <w:tc>
          <w:tcPr>
            <w:tcW w:type="dxa" w:w="2900"/>
            <w:tcBorders>
              <w:top w:val="single" w:color="D2DADF" w:sz="2"/>
              <w:left w:val="single" w:color="D2DADF" w:sz="2"/>
              <w:bottom w:val="single" w:color="D2DADF" w:sz="2"/>
              <w:right w:val="single" w:color="D2DAD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7212B"/>
                <w:sz w:val="18"/>
                <w:szCs w:val="18"/>
              </w:rPr>
              <w:t xml:space="preserve">Bitrix + DWH (тот же клиент, + фильтр по дате)</w:t>
            </w:r>
          </w:p>
        </w:tc>
        <w:tc>
          <w:tcPr>
            <w:tcW w:type="dxa" w:w="1900"/>
            <w:tcBorders>
              <w:top w:val="single" w:color="D2DADF" w:sz="2"/>
              <w:left w:val="single" w:color="D2DADF" w:sz="2"/>
              <w:bottom w:val="single" w:color="D2DADF" w:sz="2"/>
              <w:right w:val="single" w:color="D2DADF" w:sz="2"/>
            </w:tcBorders>
            <w:shd w:fill="E3F1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1E7A4C"/>
                <w:sz w:val="18"/>
                <w:szCs w:val="18"/>
              </w:rPr>
              <w:t xml:space="preserve">Ошибка: «не удалось получить данные из источника» — ✅ исправлено 09.09</w:t>
            </w:r>
          </w:p>
        </w:tc>
        <w:tc>
          <w:tcPr>
            <w:tcW w:type="dxa" w:w="1100"/>
            <w:tcBorders>
              <w:top w:val="single" w:color="D2DADF" w:sz="2"/>
              <w:left w:val="single" w:color="D2DADF" w:sz="2"/>
              <w:bottom w:val="single" w:color="D2DADF" w:sz="2"/>
              <w:right w:val="single" w:color="D2DAD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7212B"/>
                <w:sz w:val="18"/>
                <w:szCs w:val="18"/>
              </w:rPr>
              <w:t xml:space="preserve">36,3 с</w:t>
            </w:r>
          </w:p>
        </w:tc>
      </w:tr>
      <w:tr>
        <w:tc>
          <w:tcPr>
            <w:tcW w:type="dxa" w:w="500"/>
            <w:tcBorders>
              <w:top w:val="single" w:color="D2DADF" w:sz="2"/>
              <w:left w:val="single" w:color="D2DADF" w:sz="2"/>
              <w:bottom w:val="single" w:color="D2DADF" w:sz="2"/>
              <w:right w:val="single" w:color="D2DAD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7212B"/>
                <w:sz w:val="18"/>
                <w:szCs w:val="18"/>
              </w:rPr>
              <w:t xml:space="preserve">4</w:t>
            </w:r>
          </w:p>
        </w:tc>
        <w:tc>
          <w:tcPr>
            <w:tcW w:type="dxa" w:w="700"/>
            <w:tcBorders>
              <w:top w:val="single" w:color="D2DADF" w:sz="2"/>
              <w:left w:val="single" w:color="D2DADF" w:sz="2"/>
              <w:bottom w:val="single" w:color="D2DADF" w:sz="2"/>
              <w:right w:val="single" w:color="D2DAD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7212B"/>
                <w:sz w:val="18"/>
                <w:szCs w:val="18"/>
              </w:rPr>
              <w:t xml:space="preserve">16:10</w:t>
            </w:r>
          </w:p>
        </w:tc>
        <w:tc>
          <w:tcPr>
            <w:tcW w:type="dxa" w:w="3100"/>
            <w:tcBorders>
              <w:top w:val="single" w:color="D2DADF" w:sz="2"/>
              <w:left w:val="single" w:color="D2DADF" w:sz="2"/>
              <w:bottom w:val="single" w:color="D2DADF" w:sz="2"/>
              <w:right w:val="single" w:color="D2DAD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7212B"/>
                <w:sz w:val="18"/>
                <w:szCs w:val="18"/>
              </w:rPr>
              <w:t xml:space="preserve">«Покажи мне счета в которых есть BP79140»</w:t>
            </w:r>
          </w:p>
        </w:tc>
        <w:tc>
          <w:tcPr>
            <w:tcW w:type="dxa" w:w="2900"/>
            <w:tcBorders>
              <w:top w:val="single" w:color="D2DADF" w:sz="2"/>
              <w:left w:val="single" w:color="D2DADF" w:sz="2"/>
              <w:bottom w:val="single" w:color="D2DADF" w:sz="2"/>
              <w:right w:val="single" w:color="D2DAD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7212B"/>
                <w:sz w:val="18"/>
                <w:szCs w:val="18"/>
              </w:rPr>
              <w:t xml:space="preserve">только DWH (клиент из памяти диалога, Bitrix не запрашивался)</w:t>
            </w:r>
          </w:p>
        </w:tc>
        <w:tc>
          <w:tcPr>
            <w:tcW w:type="dxa" w:w="1900"/>
            <w:tcBorders>
              <w:top w:val="single" w:color="D2DADF" w:sz="2"/>
              <w:left w:val="single" w:color="D2DADF" w:sz="2"/>
              <w:bottom w:val="single" w:color="D2DADF" w:sz="2"/>
              <w:right w:val="single" w:color="D2DADF" w:sz="2"/>
            </w:tcBorders>
            <w:shd w:fill="E3F1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1E7A4C"/>
                <w:sz w:val="18"/>
                <w:szCs w:val="18"/>
              </w:rPr>
              <w:t xml:space="preserve">Успешно — 6 записей</w:t>
            </w:r>
          </w:p>
        </w:tc>
        <w:tc>
          <w:tcPr>
            <w:tcW w:type="dxa" w:w="1100"/>
            <w:tcBorders>
              <w:top w:val="single" w:color="D2DADF" w:sz="2"/>
              <w:left w:val="single" w:color="D2DADF" w:sz="2"/>
              <w:bottom w:val="single" w:color="D2DADF" w:sz="2"/>
              <w:right w:val="single" w:color="D2DAD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7212B"/>
                <w:sz w:val="18"/>
                <w:szCs w:val="18"/>
              </w:rPr>
              <w:t xml:space="preserve">21,5 с</w:t>
            </w:r>
          </w:p>
        </w:tc>
      </w:tr>
      <w:tr>
        <w:tc>
          <w:tcPr>
            <w:tcW w:type="dxa" w:w="500"/>
            <w:tcBorders>
              <w:top w:val="single" w:color="D2DADF" w:sz="2"/>
              <w:left w:val="single" w:color="D2DADF" w:sz="2"/>
              <w:bottom w:val="single" w:color="D2DADF" w:sz="2"/>
              <w:right w:val="single" w:color="D2DAD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7212B"/>
                <w:sz w:val="18"/>
                <w:szCs w:val="18"/>
              </w:rPr>
              <w:t xml:space="preserve">5</w:t>
            </w:r>
          </w:p>
        </w:tc>
        <w:tc>
          <w:tcPr>
            <w:tcW w:type="dxa" w:w="700"/>
            <w:tcBorders>
              <w:top w:val="single" w:color="D2DADF" w:sz="2"/>
              <w:left w:val="single" w:color="D2DADF" w:sz="2"/>
              <w:bottom w:val="single" w:color="D2DADF" w:sz="2"/>
              <w:right w:val="single" w:color="D2DAD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7212B"/>
                <w:sz w:val="18"/>
                <w:szCs w:val="18"/>
              </w:rPr>
              <w:t xml:space="preserve">16:11</w:t>
            </w:r>
          </w:p>
        </w:tc>
        <w:tc>
          <w:tcPr>
            <w:tcW w:type="dxa" w:w="3100"/>
            <w:tcBorders>
              <w:top w:val="single" w:color="D2DADF" w:sz="2"/>
              <w:left w:val="single" w:color="D2DADF" w:sz="2"/>
              <w:bottom w:val="single" w:color="D2DADF" w:sz="2"/>
              <w:right w:val="single" w:color="D2DAD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7212B"/>
                <w:sz w:val="18"/>
                <w:szCs w:val="18"/>
              </w:rPr>
              <w:t xml:space="preserve">«сколько счетов клиентов открыто в 2023 году»</w:t>
            </w:r>
          </w:p>
        </w:tc>
        <w:tc>
          <w:tcPr>
            <w:tcW w:type="dxa" w:w="2900"/>
            <w:tcBorders>
              <w:top w:val="single" w:color="D2DADF" w:sz="2"/>
              <w:left w:val="single" w:color="D2DADF" w:sz="2"/>
              <w:bottom w:val="single" w:color="D2DADF" w:sz="2"/>
              <w:right w:val="single" w:color="D2DAD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7212B"/>
                <w:sz w:val="18"/>
                <w:szCs w:val="18"/>
              </w:rPr>
              <w:t xml:space="preserve">только DWH (агрегат)</w:t>
            </w:r>
          </w:p>
        </w:tc>
        <w:tc>
          <w:tcPr>
            <w:tcW w:type="dxa" w:w="1900"/>
            <w:tcBorders>
              <w:top w:val="single" w:color="D2DADF" w:sz="2"/>
              <w:left w:val="single" w:color="D2DADF" w:sz="2"/>
              <w:bottom w:val="single" w:color="D2DADF" w:sz="2"/>
              <w:right w:val="single" w:color="D2DADF" w:sz="2"/>
            </w:tcBorders>
            <w:shd w:fill="E3F1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1E7A4C"/>
                <w:sz w:val="18"/>
                <w:szCs w:val="18"/>
              </w:rPr>
              <w:t xml:space="preserve">Успешно — 6 570 записей</w:t>
            </w:r>
          </w:p>
        </w:tc>
        <w:tc>
          <w:tcPr>
            <w:tcW w:type="dxa" w:w="1100"/>
            <w:tcBorders>
              <w:top w:val="single" w:color="D2DADF" w:sz="2"/>
              <w:left w:val="single" w:color="D2DADF" w:sz="2"/>
              <w:bottom w:val="single" w:color="D2DADF" w:sz="2"/>
              <w:right w:val="single" w:color="D2DAD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7212B"/>
                <w:sz w:val="18"/>
                <w:szCs w:val="18"/>
              </w:rPr>
              <w:t xml:space="preserve">19,6 с</w:t>
            </w:r>
          </w:p>
        </w:tc>
      </w:tr>
      <w:tr>
        <w:tc>
          <w:tcPr>
            <w:tcW w:type="dxa" w:w="500"/>
            <w:tcBorders>
              <w:top w:val="single" w:color="D2DADF" w:sz="2"/>
              <w:left w:val="single" w:color="D2DADF" w:sz="2"/>
              <w:bottom w:val="single" w:color="D2DADF" w:sz="2"/>
              <w:right w:val="single" w:color="D2DAD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7212B"/>
                <w:sz w:val="18"/>
                <w:szCs w:val="18"/>
              </w:rPr>
              <w:t xml:space="preserve">6</w:t>
            </w:r>
          </w:p>
        </w:tc>
        <w:tc>
          <w:tcPr>
            <w:tcW w:type="dxa" w:w="700"/>
            <w:tcBorders>
              <w:top w:val="single" w:color="D2DADF" w:sz="2"/>
              <w:left w:val="single" w:color="D2DADF" w:sz="2"/>
              <w:bottom w:val="single" w:color="D2DADF" w:sz="2"/>
              <w:right w:val="single" w:color="D2DAD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7212B"/>
                <w:sz w:val="18"/>
                <w:szCs w:val="18"/>
              </w:rPr>
              <w:t xml:space="preserve">16:13</w:t>
            </w:r>
          </w:p>
        </w:tc>
        <w:tc>
          <w:tcPr>
            <w:tcW w:type="dxa" w:w="3100"/>
            <w:tcBorders>
              <w:top w:val="single" w:color="D2DADF" w:sz="2"/>
              <w:left w:val="single" w:color="D2DADF" w:sz="2"/>
              <w:bottom w:val="single" w:color="D2DADF" w:sz="2"/>
              <w:right w:val="single" w:color="D2DAD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7212B"/>
                <w:sz w:val="18"/>
                <w:szCs w:val="18"/>
              </w:rPr>
              <w:t xml:space="preserve">«построй диаграмму количество открытых счетов по годам»</w:t>
            </w:r>
          </w:p>
        </w:tc>
        <w:tc>
          <w:tcPr>
            <w:tcW w:type="dxa" w:w="2900"/>
            <w:tcBorders>
              <w:top w:val="single" w:color="D2DADF" w:sz="2"/>
              <w:left w:val="single" w:color="D2DADF" w:sz="2"/>
              <w:bottom w:val="single" w:color="D2DADF" w:sz="2"/>
              <w:right w:val="single" w:color="D2DAD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7212B"/>
                <w:sz w:val="18"/>
                <w:szCs w:val="18"/>
              </w:rPr>
              <w:t xml:space="preserve">только DWH</w:t>
            </w:r>
          </w:p>
        </w:tc>
        <w:tc>
          <w:tcPr>
            <w:tcW w:type="dxa" w:w="1900"/>
            <w:tcBorders>
              <w:top w:val="single" w:color="D2DADF" w:sz="2"/>
              <w:left w:val="single" w:color="D2DADF" w:sz="2"/>
              <w:bottom w:val="single" w:color="D2DADF" w:sz="2"/>
              <w:right w:val="single" w:color="D2DADF" w:sz="2"/>
            </w:tcBorders>
            <w:shd w:fill="E3F1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1E7A4C"/>
                <w:sz w:val="18"/>
                <w:szCs w:val="18"/>
              </w:rPr>
              <w:t xml:space="preserve">Успешно — график + таблица</w:t>
            </w:r>
          </w:p>
        </w:tc>
        <w:tc>
          <w:tcPr>
            <w:tcW w:type="dxa" w:w="1100"/>
            <w:tcBorders>
              <w:top w:val="single" w:color="D2DADF" w:sz="2"/>
              <w:left w:val="single" w:color="D2DADF" w:sz="2"/>
              <w:bottom w:val="single" w:color="D2DADF" w:sz="2"/>
              <w:right w:val="single" w:color="D2DAD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7212B"/>
                <w:sz w:val="18"/>
                <w:szCs w:val="18"/>
              </w:rPr>
              <w:t xml:space="preserve">39,1 с</w:t>
            </w:r>
          </w:p>
        </w:tc>
      </w:tr>
      <w:tr>
        <w:tc>
          <w:tcPr>
            <w:tcW w:type="dxa" w:w="500"/>
            <w:tcBorders>
              <w:top w:val="single" w:color="D2DADF" w:sz="2"/>
              <w:left w:val="single" w:color="D2DADF" w:sz="2"/>
              <w:bottom w:val="single" w:color="D2DADF" w:sz="2"/>
              <w:right w:val="single" w:color="D2DAD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7212B"/>
                <w:sz w:val="18"/>
                <w:szCs w:val="18"/>
              </w:rPr>
              <w:t xml:space="preserve">7</w:t>
            </w:r>
          </w:p>
        </w:tc>
        <w:tc>
          <w:tcPr>
            <w:tcW w:type="dxa" w:w="700"/>
            <w:tcBorders>
              <w:top w:val="single" w:color="D2DADF" w:sz="2"/>
              <w:left w:val="single" w:color="D2DADF" w:sz="2"/>
              <w:bottom w:val="single" w:color="D2DADF" w:sz="2"/>
              <w:right w:val="single" w:color="D2DAD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7212B"/>
                <w:sz w:val="18"/>
                <w:szCs w:val="18"/>
              </w:rPr>
              <w:t xml:space="preserve">16:20</w:t>
            </w:r>
          </w:p>
        </w:tc>
        <w:tc>
          <w:tcPr>
            <w:tcW w:type="dxa" w:w="3100"/>
            <w:tcBorders>
              <w:top w:val="single" w:color="D2DADF" w:sz="2"/>
              <w:left w:val="single" w:color="D2DADF" w:sz="2"/>
              <w:bottom w:val="single" w:color="D2DADF" w:sz="2"/>
              <w:right w:val="single" w:color="D2DAD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7212B"/>
                <w:sz w:val="18"/>
                <w:szCs w:val="18"/>
              </w:rPr>
              <w:t xml:space="preserve">«Покажи счета клиента Бубликов»</w:t>
            </w:r>
          </w:p>
        </w:tc>
        <w:tc>
          <w:tcPr>
            <w:tcW w:type="dxa" w:w="2900"/>
            <w:tcBorders>
              <w:top w:val="single" w:color="D2DADF" w:sz="2"/>
              <w:left w:val="single" w:color="D2DADF" w:sz="2"/>
              <w:bottom w:val="single" w:color="D2DADF" w:sz="2"/>
              <w:right w:val="single" w:color="D2DAD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7212B"/>
                <w:sz w:val="18"/>
                <w:szCs w:val="18"/>
              </w:rPr>
              <w:t xml:space="preserve">Bitrix + DWH</w:t>
            </w:r>
          </w:p>
        </w:tc>
        <w:tc>
          <w:tcPr>
            <w:tcW w:type="dxa" w:w="1900"/>
            <w:tcBorders>
              <w:top w:val="single" w:color="D2DADF" w:sz="2"/>
              <w:left w:val="single" w:color="D2DADF" w:sz="2"/>
              <w:bottom w:val="single" w:color="D2DADF" w:sz="2"/>
              <w:right w:val="single" w:color="D2DADF" w:sz="2"/>
            </w:tcBorders>
            <w:shd w:fill="E3F1E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1E7A4C"/>
                <w:sz w:val="18"/>
                <w:szCs w:val="18"/>
              </w:rPr>
              <w:t xml:space="preserve">Успешно — 9 записей</w:t>
            </w:r>
          </w:p>
        </w:tc>
        <w:tc>
          <w:tcPr>
            <w:tcW w:type="dxa" w:w="1100"/>
            <w:tcBorders>
              <w:top w:val="single" w:color="D2DADF" w:sz="2"/>
              <w:left w:val="single" w:color="D2DADF" w:sz="2"/>
              <w:bottom w:val="single" w:color="D2DADF" w:sz="2"/>
              <w:right w:val="single" w:color="D2DADF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17212B"/>
                <w:sz w:val="18"/>
                <w:szCs w:val="18"/>
              </w:rPr>
              <w:t xml:space="preserve">50,9 с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b/>
          <w:bCs/>
        </w:rPr>
        <w:t xml:space="preserve">Итог серии: </w:t>
      </w:r>
      <w:r>
        <w:t xml:space="preserve">4 успешных из 7, обе ошибки — на запросах, требующих Bitrix; все запросы только к DWH прошли без единого сбоя.</w:t>
      </w:r>
    </w:p>
    <w:p>
      <w:pPr>
        <w:pStyle w:val="Heading1"/>
        <w:spacing w:after="140" w:before="320"/>
      </w:pPr>
      <w:r>
        <w:t xml:space="preserve">Наблюдения по данным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DWH ни разу не подвёл. </w:t>
      </w:r>
      <w:r>
        <w:t xml:space="preserve">Все три запроса, не трогавшие Bitrix (№4, 5, 6), включая тяжёлую агрегацию по 6 570 записям и построение графика, прошли чисто и быстро (19,6–39,1 с). Проблема локализована именно в Bitrix-плече маршрута, не в DWH и не в общей логике сборки ответа.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Оба сбоя — на запросах с наибольшей нагрузкой на Bitrix. </w:t>
      </w:r>
      <w:r>
        <w:t xml:space="preserve">№2 требует скана по всем клиентам сразу (без единого фильтра) — самый тяжёлый по своей природе запрос в серии. №3 — не просто повтор №1: к тому же клиенту добавлен фильтр по диапазону дат, а это для Bitrix означает не точечную выборку по одному известному клиенту, а фильтрацию/скан более широкого набора записей до применения условия — по нагрузке это ближе к «большому» запросу, чем к простому повтору №1, хотя внешне выглядит «узким».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Успешные Bitrix-запросы заметно медленнее DWH-only. </w:t>
      </w:r>
      <w:r>
        <w:t xml:space="preserve">№1 и №7 (66 с и 50,9 с) — два самых долгих «обдумывания» в серии. Похоже, что система не отказывает сразу — подолгу ждёт ответа от Bitrix, и либо дожидается (успех, но медленно), либо нет (отказ после длительного ожидания — 36,3 с в №3).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Отдельно, не про стабильность Bitrix: в №4 клиент был подставлен из памяти предыдущего запроса, Bitrix заново не запрашивался — этот успех не проверяет живое обращение к источнику.</w:t>
      </w:r>
    </w:p>
    <w:p>
      <w:pPr>
        <w:pStyle w:val="Heading1"/>
        <w:spacing w:after="140" w:before="320"/>
      </w:pPr>
      <w:r>
        <w:t xml:space="preserve">Наша версия</w:t>
      </w:r>
    </w:p>
    <w:p>
      <w:pPr>
        <w:spacing w:after="160"/>
      </w:pPr>
      <w:r>
        <w:rPr>
          <w:b/>
          <w:bCs/>
          <w:color w:val="1E2761"/>
        </w:rPr>
        <w:t xml:space="preserve">Данные подтверждают исходную гипотезу: шина Bitrix плохо справляется с большими/тяжёлыми запросами и на них падает.</w:t>
      </w:r>
      <w:r>
        <w:t xml:space="preserve"> Оба зафиксированных сбоя (№2, №3) — ровно те два запроса в серии, которые требуют от Bitrix наибольшего объёма обработки (полный скан по всем клиентам и фильтрация по диапазону дат соответственно), а не точечного обращения по одному известному идентификатору. Все лёгкие, точечные Bitrix-запросы (№1, №7) и все запросы без Bitrix вообще (№4, 5, 6) отработали без единого сбоя. Долгое время ожидания перед успехом (50–66 с) на тех же тяжёлых Bitrix-запросах — дополнительный симптом того же самого: шина не справляется с нагрузкой и на грани таймаута, независимо от того, чем это в итоге заканчивается — успехом или ошибкой.</w:t>
      </w:r>
    </w:p>
    <w:p>
      <w:pPr>
        <w:spacing w:after="160"/>
      </w:pPr>
      <w:r>
        <w:rPr>
          <w:b/>
          <w:bCs/>
        </w:rPr>
        <w:t xml:space="preserve">Найдена вероятная механическая причина. </w:t>
      </w:r>
      <w:r>
        <w:t xml:space="preserve">Bitrix отдаёт данные постранично, порциями </w:t>
      </w:r>
      <w:r>
        <w:rPr>
          <w:b/>
          <w:bCs/>
        </w:rPr>
        <w:t xml:space="preserve">по 20 записей</w:t>
      </w:r>
      <w:r>
        <w:t xml:space="preserve">, а всего клиентов в источнике — </w:t>
      </w:r>
      <w:r>
        <w:rPr>
          <w:b/>
          <w:bCs/>
        </w:rPr>
        <w:t xml:space="preserve">~44 000</w:t>
      </w:r>
      <w:r>
        <w:t xml:space="preserve">. Это значит, что запрос без фильтра по конкретному клиенту (как №2 — «покажи клиентов у которых есть счета») требует не одного обращения, а порядка </w:t>
      </w:r>
      <w:r>
        <w:rPr>
          <w:b/>
          <w:bCs/>
        </w:rPr>
        <w:t xml:space="preserve">44 000 ÷ 20 ≈ 2 200 последовательных постраничных запросов</w:t>
      </w:r>
      <w:r>
        <w:t xml:space="preserve"> к Bitrix, чтобы пройти весь набор. При таком количестве обращений отказ или таймаут — ожидаемый, а не случайный исход: неважно, что именно нестабильно на стороне Bitrix, но обычную нагрузку в тысячи последовательных пагинированных вызовов шина явно не тянет. Это же объясняет и №3: фильтр по диапазону дат (а не по одному известному счёту) тоже, вероятно, требует пройти постранично широкий срез записей, прежде чем применить условие, — то есть по факту это тоже «большой» запрос, а не точечный, несмотря на то, что выглядит узким.</w:t>
      </w:r>
    </w:p>
    <w:p>
      <w:pPr>
        <w:pStyle w:val="Heading2"/>
        <w:spacing w:after="110" w:before="260"/>
      </w:pPr>
      <w:r>
        <w:t xml:space="preserve">Рекомендация</w:t>
      </w:r>
    </w:p>
    <w:p>
      <w:pPr>
        <w:spacing w:after="160"/>
      </w:pPr>
      <w:r>
        <w:t xml:space="preserve">Сообщить разработчику точное время сбоев (16:04 и 16:07) и факт постраничной выдачи по 20 записей на ~44 000 клиентов для сверки с нагрузкой на Bitrix в этот момент; настаивать на увеличении таймаута/retry и/или увеличении размера страницы выдачи именно для тяжёлых Bitrix-запросов (широкий скан, фильтрация по диапазону) — лёгкие точечные запросы к Bitrix проблем не показали.</w:t>
      </w:r>
    </w:p>
    <w:p>
      <w:pPr>
        <w:pStyle w:val="Heading1"/>
        <w:spacing w:after="140" w:before="320"/>
      </w:pPr>
      <w:r>
        <w:t xml:space="preserve">Обновление 09.09 — исправления (подтверждено заказчиком 10.09)</w:t>
      </w:r>
    </w:p>
    <w:p>
      <w:pPr>
        <w:spacing w:after="160"/>
      </w:pPr>
      <w:r>
        <w:t xml:space="preserve">Исправлены два пункта: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Модель уходила в рассуждения по безопасности вместо маскирования отчёта — поправлено.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Выборка договоров ранее 2023 года — поправлено. </w:t>
      </w:r>
      <w:r>
        <w:t xml:space="preserve">Соответствует тесту №3 из серии выше («Покажи счета клиента Ожгихин открытые раньше 2023 года») — ранее падал с ошибкой, теперь отрабатывает корректно.</w:t>
      </w:r>
    </w:p>
    <w:p>
      <w:pPr>
        <w:spacing w:after="160"/>
      </w:pPr>
      <w:r>
        <w:t xml:space="preserve">Оба пункта подтверждены заказчиком 10.09.</w:t>
      </w:r>
    </w:p>
    <w:p>
      <w:pPr>
        <w:pStyle w:val="Heading1"/>
        <w:spacing w:after="140" w:before="320"/>
      </w:pPr>
      <w:r>
        <w:t xml:space="preserve">Резюме</w:t>
      </w:r>
    </w:p>
    <w:p>
      <w:pPr>
        <w:spacing w:after="160"/>
      </w:pPr>
      <w:r>
        <w:t xml:space="preserve">Работа платформы по данному кейсу признаётся удовлетворительной. Случаи массовой выборки из Bitrix, падающие в ошибку (см. №2 выше — широкий запрос без фильтра по клиенту), заносятся в бэклог развития платформы — не блокируют приёмку.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2026-09-10T07:21:35.727Z</dcterms:created>
  <dcterms:modified xsi:type="dcterms:W3CDTF">2026-09-10T07:21:35.747Z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