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20"/>
      </w:pPr>
      <w:r>
        <w:t xml:space="preserve">Практический план исполнения по Приложению №1 к Договору № ИКД-1-PRO от 15.07.2026 (</w:t>
      </w:r>
      <w:r>
        <w:rPr>
          <w:i/>
          <w:iCs/>
        </w:rPr>
        <w:t xml:space="preserve">docs/sources/tz-pilot-ikd-1-pro-ai-guard.docx</w:t>
      </w:r>
      <w:r>
        <w:t xml:space="preserve">, разбор — </w:t>
      </w:r>
      <w:r>
        <w:rPr>
          <w:i/>
          <w:iCs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spacing w:after="160" w:before="320"/>
      </w:pPr>
      <w:r>
        <w:t xml:space="preserve">0. Что нужно понимать перед стартом</w:t>
      </w:r>
    </w:p>
    <w:p>
      <w:pPr>
        <w:spacing w:after="12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20"/>
      </w:pPr>
      <w:r>
        <w:rPr>
          <w:b/>
          <w:bCs/>
        </w:rPr>
        <w:t xml:space="preserve">Статус на сейчас (на 04.08.2026)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, но по факту доступ </w:t>
      </w:r>
      <w:r>
        <w:rPr>
          <w:b/>
          <w:bCs/>
          <w:color w:val="B45309"/>
        </w:rPr>
        <w:t xml:space="preserve">до сих пор не предоставлен</w:t>
      </w:r>
      <w:r>
        <w:t xml:space="preserve"> — просрочка уже 4 дня к целевой дате и 8 дней к номинальному старту. По условиям ТЗ часы пилота считаются именно от даты фактического доступа, поэтому </w:t>
      </w:r>
      <w:r>
        <w:rPr>
          <w:b/>
          <w:bCs/>
          <w:color w:val="B45309"/>
        </w:rPr>
        <w:t xml:space="preserve">официальный День 1 ещё не наступил</w:t>
      </w:r>
      <w:r>
        <w:t xml:space="preserve"> — как только доступ откроется, календарь ниже пересчитывается от новой фактической даты. 27.07–04.08 засчитываются как подготовительная работа, не блокированная доступом (провижининг серверов, обсуждение состава ролей), но не входят в 6-недельный счётчик пилота.</w:t>
      </w:r>
    </w:p>
    <w:p>
      <w:pPr>
        <w:pStyle w:val="Heading1"/>
        <w:spacing w:after="16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800"/>
        <w:gridCol w:w="3300"/>
      </w:tblGrid>
      <w:tr>
        <w:trPr>
          <w:tblHeader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нужно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предоставляет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Блокирует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Выделенный сервер/ВМ под СУБД (≈8 vCPU, 64 ГБ RAM, 200+ ГБ SSD) + 1×GPU (32–40 ГБ+) для эмбеддеров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Этап 1 — статус не известен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Выделенный сервер/ВМ под компоненты платформы (≈8 vCPU, 64 ГБ RAM, 200 ГБ SSD)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(по факту выделено 32 ГБ RAM, 100 ГБ SSD вместо заявленных 64/200 — дисковое пространство докраивали по ходу установки)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Контейнерная среда (Docker/Kubernetes), Linux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(Docker развернули собственными силами)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Статус не известен (не получено) —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Статус не известен (нет доступа) —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— см. открытый вопрос ниже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2 RAG-коллекций документов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1–2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(ключи получены 04.08.2026, подключение к AI Guard ещё не выполнено)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Технический контакт со стороны Д8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Все этапы</w:t>
            </w:r>
          </w:p>
        </w:tc>
      </w:tr>
    </w:tbl>
    <w:p>
      <w:pPr>
        <w:spacing w:after="12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case-03),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spacing w:after="160" w:before="320"/>
      </w:pPr>
      <w:r>
        <w:t xml:space="preserve">2. Календарный план по этапам</w:t>
      </w:r>
    </w:p>
    <w:p>
      <w:pPr>
        <w:spacing w:after="120"/>
      </w:pPr>
      <w:r>
        <w:t xml:space="preserve">Даты ниже приведены от целевого Дня 1 (31.07.2026, см. раздел 0) как ориентир. Поскольку доступ к КХД/ESB на 04.08.2026 ещё не получен,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20" w:before="240"/>
      </w:pPr>
      <w:r>
        <w:t xml:space="preserve">Этап 1 — Подготовка и развёртывание (31.07–06.08.2026, целевые даты) — В ПРОЦЕССЕ, ЗАБЛОКИРОВАН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 получено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ESB-шине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Нет доступа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Выделение инфраструктуры (серверы/ВМ, GPU под эмбеддеры, контейнерная среда)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Частично — сервер/ВМ под СУБД и GPU (п.1 чек-листа) не подтверждён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Пробный запуск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 получен частично</w:t>
      </w:r>
      <w:r>
        <w:t xml:space="preserve">: сервер под платформу и контейнерная среда развёрнуты (по факту 32 ГБ RAM / 100 ГБ SSD вместо заявленных 64/200, докраивали место по ходу установки; Docker разворачивали собственными силами), состав ролей и RAG-коллекций согласован, пробный запуск проведён. Открытым остаётся сервер/ВМ под СУБД и GPU (статус не известен) и доступ к КХД/ESB — без них Этап 1 не может считаться закрытым, и официальный отсчёт 6-недельного пилота не запущен.</w:t>
      </w:r>
    </w:p>
    <w:p>
      <w:pPr>
        <w:pStyle w:val="Heading2"/>
        <w:spacing w:after="120" w:before="240"/>
      </w:pPr>
      <w:r>
        <w:t xml:space="preserve">Этап 2 — Интеграция (07.08–20.08.2026) — детально, по дорожкам</w:t>
      </w:r>
    </w:p>
    <w:p>
      <w:pPr>
        <w:spacing w:after="12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pStyle w:val="Heading3"/>
        <w:spacing w:after="100" w:before="200"/>
      </w:pPr>
      <w: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2–3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 — Д8 подтверждает матрицу прав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pStyle w:val="Heading3"/>
        <w:spacing w:after="100" w:before="200"/>
      </w:pPr>
      <w: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Должно быть готово к старту этапа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B2. Реализация интеграции с ESB-шиной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1–4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B3. Тестовые вызовы, сверка данных клиента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4–5</w:t>
            </w:r>
          </w:p>
        </w:tc>
      </w:tr>
    </w:tbl>
    <w:p>
      <w:pPr>
        <w:pStyle w:val="Heading3"/>
        <w:spacing w:after="100" w:before="200"/>
      </w:pPr>
      <w: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C1. Подключение по предоставленной спецификации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3–5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C2. Проверка перечисления и вызова инструментов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5–6</w:t>
            </w:r>
          </w:p>
        </w:tc>
      </w:tr>
    </w:tbl>
    <w:p>
      <w:pPr>
        <w:pStyle w:val="Heading3"/>
        <w:spacing w:after="100" w:before="200"/>
      </w:pPr>
      <w: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Совместно, приоритетно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День 1, до начала интеграции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D1. Подключение по итогам уточнения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6–8</w:t>
            </w:r>
          </w:p>
        </w:tc>
      </w:tr>
    </w:tbl>
    <w:p>
      <w:pPr>
        <w:pStyle w:val="Heading3"/>
        <w:spacing w:after="100" w:before="200"/>
      </w:pPr>
      <w: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1–5, параллельно с A–D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 / начало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5–7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F2. Индексация с учётом разграничения доступа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7–9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F3. Проверка поиска и разграничения между ролями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контакт, как можно раньше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G2. Настройка маршрутизации через AI Guard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spacing w:after="12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20" w:before="240"/>
      </w:pPr>
      <w:r>
        <w:t xml:space="preserve">Этап 3 — Опытная эксплуатация (21.08–03.09.2026) — по неделям</w:t>
      </w:r>
    </w:p>
    <w:p>
      <w:pPr>
        <w:pStyle w:val="Heading3"/>
        <w:spacing w:after="100" w:before="200"/>
      </w:pPr>
      <w: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тестируется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pStyle w:val="Heading3"/>
        <w:spacing w:after="100" w:before="200"/>
      </w:pPr>
      <w: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Обучение пилотной группы (1 сессия)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Сбор обратной связи и тест-кейсов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</w:tr>
    </w:tbl>
    <w:p>
      <w:pPr>
        <w:spacing w:after="120"/>
      </w:pPr>
      <w:r>
        <w:t xml:space="preserve">Технический контакт Д8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20" w:before="24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900"/>
      </w:tblGrid>
      <w:tr>
        <w:trPr>
          <w:tblHeader/>
        </w:trP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Итоговый отчёт + презентация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Обратная связь по итогам пилота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Решение о переходе в промышленную эксплуатацию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spacing w:after="160" w:before="320"/>
      </w:pPr>
      <w:r>
        <w:t xml:space="preserve">3. Матрица тестовых сценариев</w:t>
      </w:r>
    </w:p>
    <w:p>
      <w:pPr>
        <w:spacing w:after="12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20" w:before="24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запросе (текст)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2, конец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Восстановление в ответе (текст и документы)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Журналирование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2–3, сквозная проверка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Разграничение доступа (роль × модель)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Лимиты пользователей/групп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Потоковое/параллельное использование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3, ближе к концу</w:t>
            </w:r>
          </w:p>
        </w:tc>
      </w:tr>
    </w:tbl>
    <w:p>
      <w:pPr>
        <w:pStyle w:val="Heading2"/>
        <w:spacing w:after="120" w:before="24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Права на уровне данных (по номеру договора/ФИО)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 через API (n8n / собственная разработка)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Комплексные запросы из разных источников (CRM +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Интеграция с почтой сотрудника (IMAP)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Сверки данных (две колонки витрины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</w:tbl>
    <w:p>
      <w:pPr>
        <w:spacing w:after="120"/>
      </w:pPr>
      <w:r>
        <w:t xml:space="preserve">Наблюдение по нагрузке тестирования: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Style w:val="Heading1"/>
        <w:spacing w:after="16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2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spacing w:after="16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Активный риск: доступ к КХД/ESB просрочен и продолжает сдвигаться. </w:t>
      </w:r>
      <w:r>
        <w:t xml:space="preserve">Номинальное начало работ — 27.07.2026, целевая дата доступа — 31.07.2026; на 04.08.2026 доступ так и не предоставлен (просрочка растёт день за днём, уже 4+ дня к цели и 8+ к номинальному старту). Пока это не эскалировано в дни, но требует внимания: если доступ не откроется в ближайшие дни, стоит поднять вопрос с Д8 напрямую, а не ждать дальше — при повторении такой задержки на Этапе 2 (интеграция MCP/RAG-компании, тоже вне прямого контроля подрядчика) накопленный сдвиг может дотянуть Этап 4 до середины сентября вместо 04.09, что стоит проговорить с Д8 заранее, а не постфактум.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Зависимость от ESB-шины Д8 </w:t>
      </w:r>
      <w:r>
        <w:t xml:space="preserve">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Неопределённость источника «RAG-компании» </w:t>
      </w:r>
      <w:r>
        <w:t xml:space="preserve">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13 сценариев на 2 недели Этапа 3 </w:t>
      </w:r>
      <w:r>
        <w:t xml:space="preserve">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Разница между целевыми порогами и фактическим результатом </w:t>
      </w:r>
      <w:r>
        <w:t xml:space="preserve">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Style w:val="Heading1"/>
        <w:spacing w:after="16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l4ceei89t4jsle-lxeg6a">
        <w:r>
          <w:rPr>
            <w:rStyle w:val="Hyperlink"/>
            <w:u w:val="single"/>
          </w:rPr>
          <w:t xml:space="preserve">case-03-pilot-tz-ai-guard.md</w:t>
        </w:r>
      </w:hyperlink>
      <w:r>
        <w:t xml:space="preserve">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fgdbplg6wculyw70l4h-t">
        <w:r>
          <w:rPr>
            <w:rStyle w:val="Hyperlink"/>
            <w:u w:val="single"/>
          </w:rPr>
          <w:t xml:space="preserve">docs/sources/tz-pilot-ikd-1-pro-ai-guard.docx</w:t>
        </w:r>
      </w:hyperlink>
      <w:r>
        <w:t xml:space="preserve">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w53ly1yekkenx0k4zedpg">
        <w:r>
          <w:rPr>
            <w:rStyle w:val="Hyperlink"/>
            <w:u w:val="single"/>
          </w:rPr>
          <w:t xml:space="preserve">case-01-d8-014-brief.md</w:t>
        </w:r>
      </w:hyperlink>
      <w:r>
        <w:t xml:space="preserve">, </w:t>
      </w:r>
      <w:hyperlink w:history="1" r:id="rId9etm3_cxtpm-kok19ms8d">
        <w:r>
          <w:rPr>
            <w:rStyle w:val="Hyperlink"/>
            <w:u w:val="single"/>
          </w:rPr>
          <w:t xml:space="preserve">case-02-tz-deep-analysis-and-proposals.md</w:t>
        </w:r>
      </w:hyperlink>
      <w:r>
        <w:t xml:space="preserve"> — более ранняя работа с тем же клиентом (Д8).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4ceei89t4jsle-lxeg6a" Type="http://schemas.openxmlformats.org/officeDocument/2006/relationships/hyperlink" Target="case-03-pilot-tz-ai-guard.md" TargetMode="External"/><Relationship Id="rIdfgdbplg6wculyw70l4h-t" Type="http://schemas.openxmlformats.org/officeDocument/2006/relationships/hyperlink" Target="../sources/tz-pilot-ikd-1-pro-ai-guard.docx" TargetMode="External"/><Relationship Id="rIdw53ly1yekkenx0k4zedpg" Type="http://schemas.openxmlformats.org/officeDocument/2006/relationships/hyperlink" Target="case-01-d8-014-brief.md" TargetMode="External"/><Relationship Id="rId9etm3_cxtpm-kok19ms8d" Type="http://schemas.openxmlformats.org/officeDocument/2006/relationships/hyperlink" Target="case-02-tz-deep-analysis-and-proposals.m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2026-08-04T17:05:20.646Z</dcterms:created>
  <dcterms:modified xsi:type="dcterms:W3CDTF">2026-08-04T17:05:20.660Z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