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</w:pPr>
      <w:r>
        <w:t xml:space="preserve">Инструкция: как проверить маскирование ПДн в чате</w:t>
      </w:r>
    </w:p>
    <w:p>
      <w:pPr>
        <w:spacing w:after="140"/>
      </w:pPr>
      <w:r>
        <w:t xml:space="preserve">Для участников пилотной группы, проверяющих сценарий «Анонимизатор-2» (обезличивание в документе) — Приложение №1 к Договору № ИКД-1-PRO, case-03.</w:t>
      </w:r>
    </w:p>
    <w:p>
      <w:pPr>
        <w:pStyle w:val="Heading1"/>
        <w:spacing w:after="140" w:before="280"/>
      </w:pPr>
      <w:r>
        <w:t xml:space="preserve">1. Что вы делаете</w:t>
      </w:r>
    </w:p>
    <w:p>
      <w:pPr>
        <w:spacing w:after="140"/>
      </w:pPr>
      <w:r>
        <w:t xml:space="preserve">Вы загружаете тестовый документ в чат (тот же интерфейс, где обычно работаете с платформой) и проверяете: система должна </w:t>
      </w:r>
      <w:r>
        <w:rPr>
          <w:b/>
          <w:bCs/>
        </w:rPr>
        <w:t xml:space="preserve">заменить персональные данные из документа на метки</w:t>
      </w:r>
      <w:r>
        <w:t xml:space="preserve"> (например 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[INN_1]</w:t>
      </w:r>
      <w:r>
        <w:t xml:space="preserve">) ещё до того, как что-либо уходит в облачную модель, а затем </w:t>
      </w:r>
      <w:r>
        <w:rPr>
          <w:b/>
          <w:bCs/>
        </w:rPr>
        <w:t xml:space="preserve">вернуть их обратно</w:t>
      </w:r>
      <w:r>
        <w:t xml:space="preserve"> в финальном ответе, который видите вы.</w:t>
      </w:r>
    </w:p>
    <w:p>
      <w:pPr>
        <w:spacing w:after="140"/>
      </w:pPr>
      <w:r>
        <w:t xml:space="preserve">Данные во всех тестовых документах — </w:t>
      </w:r>
      <w:r>
        <w:rPr>
          <w:b/>
          <w:bCs/>
        </w:rPr>
        <w:t xml:space="preserve">синтетические</w:t>
      </w:r>
      <w:r>
        <w:t xml:space="preserve">, реальные клиенты Д8 не задействованы. Можно свободно экспериментировать.</w:t>
      </w:r>
    </w:p>
    <w:p>
      <w:pPr>
        <w:pStyle w:val="Heading1"/>
        <w:spacing w:after="140" w:before="280"/>
      </w:pPr>
      <w:r>
        <w:t xml:space="preserve">2. Откуда взять документы</w:t>
      </w:r>
    </w:p>
    <w:p>
      <w:pPr>
        <w:spacing w:after="140"/>
      </w:pPr>
      <w:r>
        <w:t xml:space="preserve">Тестовые документы — в папке </w:t>
      </w:r>
      <w:r>
        <w:rPr>
          <w:rFonts w:ascii="Consolas" w:cs="Consolas" w:eastAsia="Consolas" w:hAnsi="Consolas"/>
          <w:sz w:val="20"/>
          <w:szCs w:val="20"/>
        </w:rPr>
        <w:t xml:space="preserve">docs/test-data/anonymizer-2-test-documents/</w:t>
      </w:r>
      <w:r>
        <w:t xml:space="preserve"> (3 сюжета × 8 форматов = 24 файла): </w:t>
      </w:r>
      <w:r>
        <w:rPr>
          <w:rFonts w:ascii="Consolas" w:cs="Consolas" w:eastAsia="Consolas" w:hAnsi="Consolas"/>
          <w:sz w:val="20"/>
          <w:szCs w:val="20"/>
        </w:rPr>
        <w:t xml:space="preserve">01-anketa-klienta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02-sluzhebnaya-zapiska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03-reestr-operaciy</w:t>
      </w:r>
      <w:r>
        <w:t xml:space="preserve">. Берите любой формат, который платформа должна поддерживать (txt, json, xml, xlsx, docx, pptx, pdf).</w:t>
      </w:r>
    </w:p>
    <w:p>
      <w:pPr>
        <w:pStyle w:val="Heading1"/>
        <w:spacing w:after="140" w:before="280"/>
      </w:pPr>
      <w:r>
        <w:t xml:space="preserve">3. Пошаговая процедура на каждый документ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Откройте чат платформы.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Прикрепите один тестовый файл.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Отправьте простой запрос, например: </w:t>
      </w:r>
      <w:r>
        <w:rPr>
          <w:b/>
          <w:bCs/>
        </w:rPr>
        <w:t xml:space="preserve">«Перечисли все данные из документа»</w:t>
      </w:r>
      <w:r>
        <w:t xml:space="preserve"> или </w:t>
      </w:r>
      <w:r>
        <w:rPr>
          <w:b/>
          <w:bCs/>
        </w:rPr>
        <w:t xml:space="preserve">«Опиши содержимое документа»</w:t>
      </w:r>
      <w:r>
        <w:t xml:space="preserve">. Не нужно ничего специального формулировать — задача модели не в этом, задача — проверить, что вернётся в ответе.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Дождитесь ответа. Если «Обдумывание» идёт заметно дольше обычного (по нашим замерам — свыше ~20 секунд, иногда доходило до 1–2 минут) — это отдельная известная проблема производительности бэкенда, не связанная с маскированием как таковым. Дождитесь ответа или тайм-аута, зафиксируйте время в комментарии к строке теста (см. п. 6).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Внимательно прочитайте ответ модели.</w:t>
      </w:r>
    </w:p>
    <w:p>
      <w:pPr>
        <w:pStyle w:val="Heading1"/>
        <w:spacing w:after="140" w:before="280"/>
      </w:pPr>
      <w:r>
        <w:t xml:space="preserve">4. Что считается успехом</w:t>
      </w:r>
    </w:p>
    <w:p>
      <w:pPr>
        <w:spacing w:after="140"/>
      </w:pPr>
      <w:r>
        <w:t xml:space="preserve">В ответе </w:t>
      </w:r>
      <w:r>
        <w:rPr>
          <w:b/>
          <w:bCs/>
        </w:rPr>
        <w:t xml:space="preserve">не должно быть настоящих значений</w:t>
      </w:r>
      <w:r>
        <w:t xml:space="preserve"> — вместо них должны стоять метки вида </w:t>
      </w:r>
      <w:r>
        <w:rPr>
          <w:rFonts w:ascii="Consolas" w:cs="Consolas" w:eastAsia="Consolas" w:hAnsi="Consolas"/>
          <w:sz w:val="20"/>
          <w:szCs w:val="20"/>
        </w:rPr>
        <w:t xml:space="preserve">[КОД_N]</w:t>
      </w:r>
      <w:r>
        <w:t xml:space="preserve">. Ниже — полный список всех 20 встроенных типов, которые платформа умеет распознавать и маскировать (не только те, что есть в наших тестовых документах — пригодится и при проверке на любых других файлах):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2400"/>
      </w:tblGrid>
      <w:tr>
        <w:trPr>
          <w:tblHeader/>
        </w:trP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Что это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A2B4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Метка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/ лицо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[PERSON_N]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Организация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[ORG_N]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Геолокация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[LOC_N]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Телефон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[PHONE_N]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Email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[EMAIL_N]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ИНН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[INN_N]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ОГРН / ОГРНИП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[OGRN_N]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Международный счёт (IBAN)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[IBAN_N]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СНИЛС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[SNILS_N]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Паспорт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[PASSPORT_N]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Банковская карта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[BANK_CARD_N]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Банковский счёт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[BANK_ACCOUNT_N]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Токен сессии / JWT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[SESSION_TOKEN_N]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Логин (username)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[USERNAME_N]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ФИО по ключу (например, «ФИО:», «name=»)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[FULL_NAME_N]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Дата рождения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[DOB_N]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Адрес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[ADDRESS_N]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IP-адрес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[IP_N]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Госномер автомобиля РФ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[PLATE_N]</w:t>
            </w:r>
          </w:p>
        </w:tc>
      </w:tr>
      <w:tr>
        <w:tc>
          <w:tcPr>
            <w:tcW w:type="dxa" w:w="75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Неклассифицированные ПДн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[UNKNOWN_N]</w:t>
            </w:r>
          </w:p>
        </w:tc>
      </w:tr>
    </w:tbl>
    <w:p>
      <w:pPr>
        <w:spacing w:after="140"/>
      </w:pPr>
      <w:r>
        <w:rPr>
          <w:b/>
          <w:bCs/>
        </w:rPr>
        <w:t xml:space="preserve">N</w:t>
      </w:r>
      <w:r>
        <w:t xml:space="preserve"> — порядковый номер внутри типа в рамках одной сессии: если в документе два разных ФИО, они получат разные метки (</w:t>
      </w:r>
      <w:r>
        <w:rPr>
          <w:rFonts w:ascii="Consolas" w:cs="Consolas" w:eastAsia="Consolas" w:hAnsi="Consolas"/>
          <w:sz w:val="20"/>
          <w:szCs w:val="20"/>
        </w:rPr>
        <w:t xml:space="preserve">[PERSON_1]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[PERSON_2]</w:t>
      </w:r>
      <w:r>
        <w:t xml:space="preserve">), а если одно и то же ФИО встречается дважды — оба раза одна и та же метка.</w:t>
      </w:r>
    </w:p>
    <w:p>
      <w:pPr>
        <w:spacing w:after="140"/>
      </w:pPr>
      <w:r>
        <w:t xml:space="preserve">В наших тестовых документах (anonymizer-2-test-documents) реально встречаются только 9 из этих 20 типов: ФИО, ИНН, СНИЛС, Телефон, Email, Адрес, Паспорт, Банковский счёт, Банковская карта — остальные 11 в тестовом наборе не проверяются, таблица дана как полный справочник на будущее.</w:t>
      </w:r>
    </w:p>
    <w:p>
      <w:pPr>
        <w:pStyle w:val="Heading2"/>
        <w:spacing w:after="120" w:before="220"/>
      </w:pPr>
      <w:r>
        <w:t xml:space="preserve">Важная оговорка про номер договора</w:t>
      </w:r>
    </w:p>
    <w:p>
      <w:pPr>
        <w:spacing w:after="140"/>
      </w:pPr>
      <w:r>
        <w:rPr>
          <w:b/>
          <w:bCs/>
        </w:rPr>
        <w:t xml:space="preserve">Номер договора (например, ИКД-1-PRO-TEST-001) не входит во встроенные типы, которые платформа умеет распознавать по умолчанию.</w:t>
      </w:r>
      <w:r>
        <w:t xml:space="preserve"> Если он остаётся в ответе в открытом виде — это </w:t>
      </w:r>
      <w:r>
        <w:rPr>
          <w:b/>
          <w:bCs/>
        </w:rPr>
        <w:t xml:space="preserve">ожидаемое поведение</w:t>
      </w:r>
      <w:r>
        <w:t xml:space="preserve">, а не найденная вами утечка или баг, если только вам заранее не подтвердили, что для номеров договоров специально настроен отдельный (кастомный) тип маскирования. Если сомневаетесь — зафиксируйте в комментарии и не считайте это критической находкой без дополнительной проверки.</w:t>
      </w:r>
    </w:p>
    <w:p>
      <w:pPr>
        <w:pStyle w:val="Heading1"/>
        <w:spacing w:after="140" w:before="280"/>
      </w:pPr>
      <w:r>
        <w:t xml:space="preserve">5. Что считается проблемой (нужно зафиксировать как находку)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В ответе видно настоящее значение из списка в таблице выше (ФИО, ИНН, СНИЛС, телефон, email, адрес, паспорт, номер счёта, номер карты) — не заменённое на метку.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Метка стоит не на своём месте или перепутана между разными людьми (особенно проверяйте это на «Реестре операций» — там 5 разных клиентов, и важно, что данные одного не подставились вместо данных другого).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Ответ пришёл с ошибкой (500, таймаут, «сервис недоступен») — тоже фиксируется, отдельно от вопроса маскирования.</w:t>
      </w:r>
    </w:p>
    <w:p>
      <w:pPr>
        <w:pStyle w:val="Heading1"/>
        <w:spacing w:after="140" w:before="280"/>
      </w:pPr>
      <w:r>
        <w:t xml:space="preserve">6. Куда записывать результат</w:t>
      </w:r>
    </w:p>
    <w:p>
      <w:pPr>
        <w:spacing w:after="140"/>
      </w:pPr>
      <w:r>
        <w:t xml:space="preserve">Используйте </w:t>
      </w:r>
      <w:r>
        <w:rPr>
          <w:rFonts w:ascii="Consolas" w:cs="Consolas" w:eastAsia="Consolas" w:hAnsi="Consolas"/>
          <w:sz w:val="20"/>
          <w:szCs w:val="20"/>
        </w:rPr>
        <w:t xml:space="preserve">docs/test-data/anonymizer-2-test-documents/test-tracker.xlsx</w:t>
      </w:r>
      <w:r>
        <w:t xml:space="preserve">, лист «Тест-лист»: по строке на каждый документ/формат — впишите, сколько сущностей распознано и замаскировано, была ли утечка (да/нет), корректно ли демаскирование в ответе, и комментарий (в т.ч. если ответ шёл необычно долго или упал с ошибкой). Лист «Сводка» сам посчитает % по каждому формату.</w:t>
      </w:r>
    </w:p>
    <w:p>
      <w:pPr>
        <w:pStyle w:val="Heading1"/>
        <w:spacing w:after="140" w:before="280"/>
      </w:pPr>
      <w:r>
        <w:t xml:space="preserve">7. Если что-то пошло не так</w:t>
      </w:r>
    </w:p>
    <w:p>
      <w:pPr>
        <w:spacing w:after="140"/>
      </w:pPr>
      <w:r>
        <w:t xml:space="preserve">Если видите утечку настоящих данных, перепутанные метки или постоянные ошибки/таймауты — зафиксируйте это в трекере с максимумом деталей (какой файл, какой формат, что именно увидели) и сообщите техническому контакту, не пытаясь диагностировать причину самостоятельно — это отдельная задача команды сопровождения.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2026-08-11T11:52:58.907Z</dcterms:created>
  <dcterms:modified xsi:type="dcterms:W3CDTF">2026-08-11T11:52:58.924Z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