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32"/>
          <w:szCs w:val="32"/>
        </w:rPr>
        <w:t xml:space="preserve">Внешние агентские системы</w:t>
      </w:r>
    </w:p>
    <w:p>
      <w:pPr>
        <w:spacing w:after="280"/>
      </w:pPr>
      <w:r>
        <w:rPr>
          <w:i/>
          <w:iCs/>
          <w:color w:val="5C6B7A"/>
          <w:sz w:val="21"/>
          <w:szCs w:val="21"/>
        </w:rPr>
        <w:t xml:space="preserve">Рабочее место ИБ — инструкция по экрану управления доступом внешних агентов к MCP Gateway</w:t>
      </w:r>
    </w:p>
    <w:p>
      <w:pPr>
        <w:spacing w:after="150"/>
      </w:pPr>
      <w:r>
        <w:t xml:space="preserve">Инструкция по разделу рабочего места ИБ, где администратор управляет доступом внешних агентских систем (n8n, GigaChat, Just AI и т.п.) к данным платформы через </w:t>
      </w:r>
      <w:r>
        <w:rPr>
          <w:b/>
          <w:bCs/>
        </w:rPr>
        <w:t xml:space="preserve">MCP Gateway</w:t>
      </w:r>
      <w:r>
        <w:t xml:space="preserve"> по протоколу </w:t>
      </w:r>
      <w:r>
        <w:rPr>
          <w:b/>
          <w:bCs/>
        </w:rPr>
        <w:t xml:space="preserve">OAuth 2.1 (client_credentials)</w:t>
      </w:r>
      <w:r>
        <w:t xml:space="preserve">. Составлена по скриншотам живого стенда — реестр, карточка клиента, блок «Жизненный цикл».</w:t>
      </w:r>
    </w:p>
    <w:p>
      <w:pPr>
        <w:spacing w:after="150"/>
      </w:pPr>
      <w:r>
        <w:rPr>
          <w:i/>
          <w:iCs/>
        </w:rPr>
        <w:t xml:space="preserve">Это инструкция по UI-экрану ИБ. Технический OAuth-flow, curl-примеры и диагностика ошибок клиента — в отдельной инструкции «Подключение внешнего клиента к MCP Gateway»; документы дополняют друг друга.</w:t>
      </w:r>
    </w:p>
    <w:p>
      <w:pPr>
        <w:pStyle w:val="Heading1"/>
        <w:spacing w:after="130" w:before="300"/>
      </w:pPr>
      <w:r>
        <w:t xml:space="preserve">1. Как попасть на экран</w:t>
      </w:r>
    </w:p>
    <w:p>
      <w:pPr>
        <w:spacing w:after="150"/>
      </w:pPr>
      <w:r>
        <w:t xml:space="preserve">Верхняя навигация → </w:t>
      </w:r>
      <w:r>
        <w:rPr>
          <w:b/>
          <w:bCs/>
        </w:rPr>
        <w:t xml:space="preserve">«Рабочее место ИБ»</w:t>
      </w:r>
      <w:r>
        <w:t xml:space="preserve"> (выпадающее меню) → </w:t>
      </w:r>
      <w:r>
        <w:rPr>
          <w:b/>
          <w:bCs/>
        </w:rPr>
        <w:t xml:space="preserve">«Внешние агентские системы»</w:t>
      </w:r>
      <w:r>
        <w:t xml:space="preserve"> — пункт в нижнем блоке меню, рядом с «Типы действий инструментов» и «Настройки развёртывания».</w:t>
      </w:r>
    </w:p>
    <w:p>
      <w:pPr>
        <w:spacing w:after="150"/>
      </w:pPr>
      <w:r>
        <w:t xml:space="preserve">URL: </w:t>
      </w:r>
      <w:r>
        <w:rPr>
          <w:rFonts w:ascii="Consolas" w:cs="Consolas" w:eastAsia="Consolas" w:hAnsi="Consolas"/>
          <w:sz w:val="19"/>
          <w:szCs w:val="19"/>
        </w:rPr>
        <w:t xml:space="preserve">.../dlp/external-clients/</w:t>
      </w:r>
    </w:p>
    <w:p>
      <w:pPr>
        <w:pStyle w:val="Heading1"/>
        <w:spacing w:after="130" w:before="300"/>
      </w:pPr>
      <w:r>
        <w:t xml:space="preserve">2. Реестр</w:t>
      </w:r>
    </w:p>
    <w:p>
      <w:pPr>
        <w:spacing w:after="150"/>
      </w:pPr>
      <w:r>
        <w:t xml:space="preserve">Экран показывает три очереди подряд: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Очередь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Что в ней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Ожидают апрува ИБ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Поданные, но ещё не одобренные заявки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Активные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Клиенты со статусом active — реально могут получать токены и вызывать инструменты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Отозванные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История клиентов, доступ которым закрыт</w:t>
            </w:r>
          </w:p>
        </w:tc>
      </w:tr>
    </w:tbl>
    <w:p>
      <w:pPr>
        <w:spacing w:after="160"/>
      </w:pPr>
    </w:p>
    <w:p>
      <w:pPr>
        <w:spacing w:after="150"/>
      </w:pPr>
      <w:r>
        <w:t xml:space="preserve">В каждой очереди — таблица с колонками </w:t>
      </w:r>
      <w:r>
        <w:rPr>
          <w:b/>
          <w:bCs/>
        </w:rPr>
        <w:t xml:space="preserve">client_id</w:t>
      </w:r>
      <w:r>
        <w:t xml:space="preserve">, </w:t>
      </w:r>
      <w:r>
        <w:rPr>
          <w:b/>
          <w:bCs/>
        </w:rPr>
        <w:t xml:space="preserve">Персона</w:t>
      </w:r>
      <w:r>
        <w:t xml:space="preserve">, </w:t>
      </w:r>
      <w:r>
        <w:rPr>
          <w:b/>
          <w:bCs/>
        </w:rPr>
        <w:t xml:space="preserve">Namespace (aud)</w:t>
      </w:r>
      <w:r>
        <w:t xml:space="preserve">, </w:t>
      </w:r>
      <w:r>
        <w:rPr>
          <w:b/>
          <w:bCs/>
        </w:rPr>
        <w:t xml:space="preserve">Владелец</w:t>
      </w:r>
      <w:r>
        <w:t xml:space="preserve">, и (кроме «Ожидают апрува») кнопка </w:t>
      </w:r>
      <w:r>
        <w:rPr>
          <w:b/>
          <w:bCs/>
        </w:rPr>
        <w:t xml:space="preserve">«Открыть →»</w:t>
      </w:r>
      <w:r>
        <w:t xml:space="preserve"> на карточку клиента.</w:t>
      </w:r>
    </w:p>
    <w:p>
      <w:pPr>
        <w:spacing w:after="150"/>
      </w:pPr>
      <w:r>
        <w:rPr>
          <w:b/>
          <w:bCs/>
        </w:rPr>
        <w:t xml:space="preserve">Подача новой заявки: </w:t>
      </w:r>
      <w:r>
        <w:t xml:space="preserve">кнопка «+ Заявка» в правом верхнем углу экрана. Поля формы («Вендор», «Назначение», «Персона», om_user_email, «Ресурсы» / namespace, флажок «Требуется маскировка ПДн») и порядок одобрения — в инструкции по MCP Gateway, Часть II, Шаг 1.</w:t>
      </w:r>
    </w:p>
    <w:p>
      <w:pPr>
        <w:pStyle w:val="Heading1"/>
        <w:spacing w:after="130" w:before="300"/>
      </w:pPr>
      <w:r>
        <w:t xml:space="preserve">3. Карточка клиента</w:t>
      </w:r>
    </w:p>
    <w:p>
      <w:pPr>
        <w:spacing w:after="150"/>
      </w:pPr>
      <w:r>
        <w:t xml:space="preserve">Открывается кнопкой «Открыть →» из реестра: </w:t>
      </w:r>
      <w:r>
        <w:rPr>
          <w:rFonts w:ascii="Consolas" w:cs="Consolas" w:eastAsia="Consolas" w:hAnsi="Consolas"/>
          <w:sz w:val="19"/>
          <w:szCs w:val="19"/>
        </w:rPr>
        <w:t xml:space="preserve">.../dlp/external-clients/&lt;client_id&gt;</w:t>
      </w:r>
      <w:r>
        <w:t xml:space="preserve">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Поле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Что это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client_id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Идентификатор клиента, присвоенный при регистрации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active / отозванные показываются с соответствующим статусом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Метод аутентификации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client_secret — единственный наблюдаемый на стенде вариант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Persona ID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UUID персоны — граница доступа (домены, RLS-фильтры) этого клиента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OM service-account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Учётная запись OpenMetadata, которую клиент имперсонирует (om_user_email из заявки)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Namespace (aud)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Один или несколько: data__, om__ — к каким наборам инструментов есть доступ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Домены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«(по персоне)» — домены не задаются отдельно на клиенте, а наследуются от персоны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Scopes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Дополнительная область действия; «—», если не используется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Владелец / заказчик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Кому принадлежит доступ / для кого заведён — в наблюдаемых примерах оба поля пустые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Создал / одобрил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Кто подал заявку и кто её одобрил — могут совпадать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Создан / Одобрен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Таймстемпы создания заявки и перехода в active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Ротация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Таймстемп последней ротации client_secret</w:t>
            </w:r>
          </w:p>
        </w:tc>
      </w:tr>
      <w:tr>
        <w:tc>
          <w:tcPr>
            <w:tcW w:type="dxa" w:w="2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Access-токен (Ф7)</w:t>
            </w:r>
          </w:p>
        </w:tc>
        <w:tc>
          <w:tcPr>
            <w:tcW w:type="dxa" w:w="66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Таймстемп выдачи последнего access_token этому клиенту</w:t>
            </w:r>
          </w:p>
        </w:tc>
      </w:tr>
    </w:tbl>
    <w:p>
      <w:pPr>
        <w:spacing w:after="200"/>
      </w:pPr>
    </w:p>
    <w:p>
      <w:pPr>
        <w:pStyle w:val="Heading1"/>
        <w:spacing w:after="130" w:before="300"/>
      </w:pPr>
      <w:r>
        <w:t xml:space="preserve">4. Блок «Жизненный цикл (admin)»</w:t>
      </w:r>
    </w:p>
    <w:p>
      <w:pPr>
        <w:spacing w:after="150"/>
      </w:pPr>
      <w:r>
        <w:t xml:space="preserve">На карточке клиента, под таблицей полей — три действия: </w:t>
      </w:r>
      <w:r>
        <w:rPr>
          <w:b/>
          <w:bCs/>
        </w:rPr>
        <w:t xml:space="preserve">«Ротация секрета»</w:t>
      </w:r>
      <w:r>
        <w:t xml:space="preserve">, </w:t>
      </w:r>
      <w:r>
        <w:rPr>
          <w:b/>
          <w:bCs/>
        </w:rPr>
        <w:t xml:space="preserve">«Перевыпустить токен»</w:t>
      </w:r>
      <w:r>
        <w:t xml:space="preserve">, и </w:t>
      </w:r>
      <w:r>
        <w:rPr>
          <w:b/>
          <w:bCs/>
        </w:rPr>
        <w:t xml:space="preserve">«Отозвать»</w:t>
      </w:r>
      <w:r>
        <w:t xml:space="preserve"> — с обязательным текстовым полем «Причина отзыва» (например, «ручной отзыв»).</w:t>
      </w:r>
    </w:p>
    <w:p>
      <w:pPr>
        <w:spacing w:after="150"/>
      </w:pPr>
      <w:r>
        <w:t xml:space="preserve">Подтверждено самим интерфейсом — при нажатии каждой кнопки платформа показывает диалог подтверждения с точной формулировкой: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800"/>
      </w:tblGrid>
      <w:tr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Действие</w:t>
            </w:r>
          </w:p>
        </w:tc>
        <w:tc>
          <w:tcPr>
            <w:tcW w:type="dxa" w:w="3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Диалог подтверждения</w:t>
            </w:r>
          </w:p>
        </w:tc>
        <w:tc>
          <w:tcPr>
            <w:tcW w:type="dxa" w:w="38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Эффект</w:t>
            </w:r>
          </w:p>
        </w:tc>
      </w:tr>
      <w:tr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Ротация секрета</w:t>
            </w:r>
          </w:p>
        </w:tc>
        <w:tc>
          <w:tcPr>
            <w:tcW w:type="dxa" w:w="3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«Ротация: старый секрет останется валиден в grace-окно. Продолжить?»</w:t>
            </w:r>
          </w:p>
        </w:tc>
        <w:tc>
          <w:tcPr>
            <w:tcW w:type="dxa" w:w="38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Меняет client_secret. Старый секрет продолжает работать в течение grace-окна (для стандартного client_secret — 36 часов, вероятно то же и здесь).</w:t>
            </w:r>
          </w:p>
        </w:tc>
      </w:tr>
      <w:tr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7212B"/>
                <w:sz w:val="18"/>
                <w:szCs w:val="18"/>
              </w:rPr>
              <w:t xml:space="preserve">Перевыпустить токен</w:t>
            </w:r>
          </w:p>
        </w:tc>
        <w:tc>
          <w:tcPr>
            <w:tcW w:type="dxa" w:w="3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«Перевыпуск access-токена: прежний pii_ext_-токен сразу станет недействителен. Продолжить?»</w:t>
            </w:r>
          </w:p>
        </w:tc>
        <w:tc>
          <w:tcPr>
            <w:tcW w:type="dxa" w:w="38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Выпускает новый access_token. Прежний pii_ext_-токен становится недействительным немедленно, без grace-окна.</w:t>
            </w:r>
          </w:p>
        </w:tc>
      </w:tr>
    </w:tbl>
    <w:p>
      <w:pPr>
        <w:spacing w:after="160"/>
      </w:pPr>
    </w:p>
    <w:p>
      <w:pPr>
        <w:spacing w:after="150"/>
      </w:pPr>
      <w:r>
        <w:rPr>
          <w:b/>
          <w:bCs/>
        </w:rPr>
        <w:t xml:space="preserve">Практический вывод: </w:t>
      </w:r>
      <w:r>
        <w:t xml:space="preserve">для обезвреживания скомпрометированного токена без риска обрыва интеграции — начинать с «Ротация секрета» (есть время передать новое значение клиенту до истечения grace-окна). «Перевыпустить токен» — более резкая мера: использовать, когда нужно немедленно оборвать доступ по текущему токену, не дожидаясь grace-окна.</w:t>
      </w:r>
    </w:p>
    <w:p>
      <w:pPr>
        <w:pStyle w:val="Heading2"/>
        <w:spacing w:after="100" w:before="220"/>
      </w:pPr>
      <w:r>
        <w:t xml:space="preserve">Когда что использовать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Секрет или токен клиента случайно скомпрометирован (например, отправлен открытым текстом в чат/скриншотом) → обезвредить утёкшее значение ротацией/перевыпуском, не трогая «Отозвать» — регистрация клиента и его права остаются на месте, обновить нужно только credential на стороне клиента.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Клиент больше не должен иметь доступ вообще → «Отозвать» с указанием причины.</w:t>
      </w:r>
    </w:p>
    <w:p>
      <w:pPr>
        <w:pStyle w:val="Heading1"/>
        <w:spacing w:after="130" w:before="300"/>
      </w:pPr>
      <w:r>
        <w:t xml:space="preserve">5. MCP-вызовы (аудит)</w:t>
      </w:r>
    </w:p>
    <w:p>
      <w:pPr>
        <w:spacing w:after="150"/>
      </w:pPr>
      <w:r>
        <w:t xml:space="preserve">Ниже блока «Жизненный цикл» — таблица </w:t>
      </w:r>
      <w:r>
        <w:rPr>
          <w:b/>
          <w:bCs/>
        </w:rPr>
        <w:t xml:space="preserve">«MCP-вызовы (последние N)»</w:t>
      </w:r>
      <w:r>
        <w:t xml:space="preserve">: инструменты, вызванные этим конкретным агентом, с результатом </w:t>
      </w:r>
      <w:r>
        <w:rPr>
          <w:b/>
          <w:bCs/>
        </w:rPr>
        <w:t xml:space="preserve">в маскированном виде</w:t>
      </w:r>
      <w:r>
        <w:t xml:space="preserve"> — сырые значения ПДн в этом логе не показываются. Удобно для точечной проверки, что именно и когда вызывал конкретный внешний клиент, без риска раскрыть ПДн через сам аудит-лог.</w:t>
      </w:r>
    </w:p>
    <w:p>
      <w:pPr>
        <w:pStyle w:val="Heading1"/>
        <w:spacing w:after="130" w:before="300"/>
      </w:pPr>
      <w:r>
        <w:t xml:space="preserve">См. также</w:t>
      </w:r>
    </w:p>
    <w:p>
      <w:pPr>
        <w:spacing w:after="150"/>
      </w:pPr>
      <w:r>
        <w:rPr>
          <w:rFonts w:ascii="Consolas" w:cs="Consolas" w:eastAsia="Consolas" w:hAnsi="Consolas"/>
          <w:sz w:val="19"/>
          <w:szCs w:val="19"/>
        </w:rPr>
        <w:t xml:space="preserve">instrukciya-mcp-gateway-podklyuchenie.md</w:t>
      </w:r>
      <w:r>
        <w:t xml:space="preserve"> — полная техническая инструкция: OAuth-flow, curl-примеры получения токена и вызова инструментов, диагностика ошибок, чек-лист заведения клиента.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2026-09-10T05:57:55.655Z</dcterms:created>
  <dcterms:modified xsi:type="dcterms:W3CDTF">2026-09-10T05:57:55.672Z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