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с доменом «Брокерская отчётность (тест)» и ролью «Domain Only Access Role».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Шаг C — создать ещё один домен и ещё одну коллекцию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Аналогично шагу A создать ещё один домен, ещё одну коллекцию и загрузить ещё один документ (по какой-либо другой теме, все наименования и документы должны отличаться, например «Кадры (тест)»).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задать вопрос уже по новому документу. </w:t>
      </w:r>
      <w:r>
        <w:rPr>
          <w:b/>
          <w:bCs/>
        </w:rPr>
        <w:t xml:space="preserve">Ожидаемый результат:</w:t>
      </w:r>
      <w:r>
        <w:t xml:space="preserve"> сообщение о том, что информация по доступным источникам не найдена.</w:t>
      </w:r>
    </w:p>
    <w:p>
      <w:pPr>
        <w:pStyle w:val="Heading2"/>
        <w:spacing w:after="110" w:before="220"/>
      </w:pPr>
      <w:r>
        <w:t xml:space="preserve">Шаг D — настроить доступ ко второму домену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Добавить пользователю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ко второму созданному домену.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снова задать вопрос по новому документу из второй коллекции. </w:t>
      </w: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2026-08-21T17:22:53.650Z</dcterms:created>
  <dcterms:modified xsi:type="dcterms:W3CDTF">2026-08-21T17:22:53.666Z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