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 Составлено и проверено по живому интерфейсу платформы.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Администрирование → Платформа → Коллекции → «Создать коллекцию».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Как реально дать команде или пользователю доступ к домену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Каталог →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Персону нельзя привязать к домену или к каталогу вообще — ни на форме создания, ни в дальнейших настройках.</w:t>
      </w:r>
      <w:r>
        <w:t xml:space="preserve"> У самой Персоны (Настройки → Персоны → карточка персоны → «Настроить интерфейс») есть только настройка </w:t>
      </w:r>
      <w:r>
        <w:rPr>
          <w:b/>
          <w:bCs/>
        </w:rPr>
        <w:t xml:space="preserve">шаблона страниц</w:t>
      </w:r>
      <w:r>
        <w:t xml:space="preserve"> — Навигация, Главная страница, Marketplace, «Руководство» (внутри — Data Product, Domain, Glossary, Glossary Term), Объекты данных. Пункт «Domain» там означает не связь с конкретным доменом, а вид </w:t>
      </w:r>
      <w:r>
        <w:rPr>
          <w:b/>
          <w:bCs/>
        </w:rPr>
        <w:t xml:space="preserve">общей карточки любого домена</w:t>
      </w:r>
      <w:r>
        <w:t xml:space="preserve"> (какие вкладки и виджеты видны) для пользователей с этой персоной — не про доступ к данным и не про конкретный домен.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Уточнение в процессе (заглушка).</w:t>
      </w:r>
      <w:r>
        <w:t xml:space="preserve"> Отдельно от вышесказанного — на экране </w:t>
      </w:r>
      <w:r>
        <w:rPr>
          <w:b/>
          <w:bCs/>
        </w:rPr>
        <w:t xml:space="preserve">Управление данными → Граф доступа → Политики доступа</w:t>
      </w:r>
      <w:r>
        <w:t xml:space="preserve"> у Персоны действительно есть поле </w:t>
      </w:r>
      <w:r>
        <w:rPr>
          <w:b/>
          <w:bCs/>
        </w:rPr>
        <w:t xml:space="preserve">«Разрешённые домены»</w:t>
      </w:r>
      <w:r>
        <w:t xml:space="preserve">: оно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 Это отдельный от Каталога механизм row-фильтров/масок. Как именно он соотносится с доступом в чате — раздел будет дополнен отдельно.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«Текстовые документы».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без назначенного домена, без роли «Domain Only Access Role», базовая роль «Data Consumer».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В «Пользователи и доступ» (раздел «Как дать команде и пользователям доступ» общего руководства администратора) выдать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 коллекции «Тест — отчёты брокера» обычным способом.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доступна, домен на этом этапе ещё не назначен и ни на что не влияет.</w:t>
      </w:r>
    </w:p>
    <w:p>
      <w:pPr>
        <w:pStyle w:val="Heading2"/>
        <w:spacing w:after="110" w:before="220"/>
      </w:pPr>
      <w:r>
        <w:t xml:space="preserve">Шаг C — включить ограничение по домену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На карточке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назначить домен «Брокерская отчётность (тест)» и роль «Domain Only Access Role».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повторить тот же вопрос.</w:t>
      </w:r>
    </w:p>
    <w:p>
      <w:pPr>
        <w:pStyle w:val="Heading2"/>
        <w:spacing w:after="110" w:before="220"/>
      </w:pPr>
      <w:r>
        <w:t xml:space="preserve">Шаг D — проверка «после» и вывод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Если ответ не изменился</w:t>
      </w:r>
      <w:r>
        <w:t xml:space="preserve"> (документ по-прежнему находится) — домен и роль в данной версии платформы влияют на видимость метаданных в Каталоге, но не на то, что находит RAG-поиск в чате; для чата определяющим остаётся назначение самой коллекции (шаг 5).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Если документ перестал находиться</w:t>
      </w:r>
      <w:r>
        <w:t xml:space="preserve"> (или ответ явно сузился) — домен и роль дополнительно ограничивают и RAG-поиск, поверх назначения коллекции.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t xml:space="preserve">Заранее не известно, какой из двух исходов верен для конкретной версии платформы — этот тест-кейс существует именно для того, чтобы получить точный ответ на пилотном контуре, а не полагаться на предположение.</w:t>
      </w:r>
    </w:p>
    <w:p>
      <w:pPr>
        <w:pStyle w:val="Heading2"/>
        <w:spacing w:after="110" w:before="220"/>
      </w:pPr>
      <w:r>
        <w:t xml:space="preserve">Шаг E — контроль на «чужом» домене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Создать второй тестовый документ в другом домене (например, «Кадры (тест)»), не давая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доступа к этой коллекции.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Спросить в чате про содержимое второго документа.</w:t>
      </w:r>
    </w:p>
    <w:p>
      <w:pPr>
        <w:pStyle w:val="ListParagraph"/>
        <w:numPr>
          <w:ilvl w:val="0"/>
          <w:numId w:val="7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честно отвечает «не найдено» — это должно выполняться независимо от результата шага D, поскольку у пользователя нет доступа к самой коллекции.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2026-08-21T17:29:50.798Z</dcterms:created>
  <dcterms:modified xsi:type="dcterms:W3CDTF">2026-08-21T17:29:50.813Z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