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E87A1E"/>
          <w:sz w:val="19"/>
          <w:szCs w:val="19"/>
        </w:rPr>
        <w:t xml:space="preserve">ДОГОВОР № ИКД-1-PRO ОТ 15.07.2026 · АО «ИНВЕСТИЦИОННАЯ КОМПАНИЯ Д8»</w:t>
      </w:r>
    </w:p>
    <w:p>
      <w:pPr>
        <w:spacing w:after="200"/>
      </w:pPr>
      <w:r>
        <w:rPr>
          <w:b/>
          <w:bCs/>
          <w:color w:val="0F2A4A"/>
          <w:sz w:val="38"/>
          <w:szCs w:val="38"/>
        </w:rPr>
        <w:t xml:space="preserve">План пилота: Синапс.Инсайт + AI Guard</w:t>
      </w:r>
    </w:p>
    <w:p>
      <w:pPr>
        <w:spacing w:after="160"/>
      </w:pPr>
      <w:r>
        <w:rPr>
          <w:i/>
          <w:iCs/>
          <w:color w:val="555B66"/>
          <w:sz w:val="19"/>
          <w:szCs w:val="19"/>
        </w:rPr>
        <w:t xml:space="preserve">Подрядчик — ООО «АйТиКью Про» (ген. директор А.Б. Шаронин). Заказчик — АО «Инвестиционная компания Д8» (ген. директор В.В. Грицук). Срок — 6 недель, 31.07–10.09.2026.</w:t>
      </w:r>
    </w:p>
    <w:p>
      <w:pPr>
        <w:spacing w:after="100"/>
      </w:pPr>
    </w:p>
    <w:p>
      <w:pPr>
        <w:pStyle w:val="Heading1"/>
        <w:spacing w:after="160" w:before="380"/>
      </w:pPr>
      <w:r>
        <w:t xml:space="preserve">0. Что нужно понимать перед стартом</w:t>
      </w:r>
    </w:p>
    <w:p>
      <w:pPr>
        <w:spacing w:after="140"/>
      </w:pPr>
      <w:r>
        <w:rPr>
          <w:sz w:val="21"/>
          <w:szCs w:val="21"/>
        </w:rPr>
        <w:t xml:space="preserve">Часы пилота (6 недель) запускаются не с даты договора, а с момента, когда заказчик фактически предоставил инфраструктуру и доступы к КХД/ESB — это прямо оговорено в разделе «Организационные условия» ТЗ. Дата подписания договора (15.07.2026) — не дата начала пилота.</w:t>
      </w:r>
    </w:p>
    <w:p>
      <w:pPr>
        <w:spacing w:after="140"/>
      </w:pPr>
      <w:r>
        <w:rPr>
          <w:sz w:val="21"/>
          <w:szCs w:val="21"/>
        </w:rPr>
        <w:t xml:space="preserve">Статус на сейчас: номинальное начало работ — 27.07.2026, фактический доступ к КХД/ESB получен только 31.07.2026 — расхождение 4 дня. Официальный День 1 — 31.07.2026. Календарь ниже пересчитан от этой даты; 27–30.07 засчитываются как подготовительная работа, не входящая в 6-недельный счётчик.</w:t>
      </w:r>
    </w:p>
    <w:p>
      <w:pPr>
        <w:pStyle w:val="Heading1"/>
        <w:spacing w:after="160" w:before="380"/>
      </w:pPr>
      <w:r>
        <w:t xml:space="preserve">1. Чек-лист готовности к старту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300"/>
        <w:gridCol w:w="1800"/>
        <w:gridCol w:w="2750"/>
      </w:tblGrid>
      <w:tr>
        <w:trPr>
          <w:tblHeader/>
        </w:trPr>
        <w:tc>
          <w:tcPr>
            <w:tcW w:type="dxa" w:w="5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43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Что нужно</w:t>
            </w:r>
          </w:p>
        </w:tc>
        <w:tc>
          <w:tcPr>
            <w:tcW w:type="dxa" w:w="18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Кто предоставляет</w:t>
            </w:r>
          </w:p>
        </w:tc>
        <w:tc>
          <w:tcPr>
            <w:tcW w:type="dxa" w:w="275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Сервер/ВМ под СУБД (≈8 vCPU, 64 ГБ RAM, 200+ ГБ SSD, 1×GPU 32–40 ГБ для эмбеддеров)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1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Сервер/ВМ под компоненты платформы (≈8 vCPU, 64 ГБ RAM, 200 ГБ SSD)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Выполнено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Контейнерная среда (Docker/Kubernetes), Linux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Выполнено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 read-only к КХД (согласованные схемы/таблицы)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Получено 31.07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 к ESB-шине + спецификация + учётные данные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Получено 31.07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 к MCP-серверу + спецификация + учётные данные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 к внутренней «RAG-компании» + спецификация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 — открытый вопрос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Состав и права 2–5 ролей — согласовать заранее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Совместно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1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Состав 2 RAG-коллекций документов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Совместно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1–2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Пилотная группа — до 20 пользователей на 2 роли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Доступ/API-ключ к облачной LLM для AI Guard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</w:t>
            </w:r>
          </w:p>
        </w:tc>
      </w:tr>
      <w:tr>
        <w:tc>
          <w:tcPr>
            <w:tcW w:type="dxa" w:w="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12</w:t>
            </w:r>
          </w:p>
        </w:tc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Технический контакт со стороны Д8</w:t>
            </w:r>
          </w:p>
        </w:tc>
        <w:tc>
          <w:tcPr>
            <w:tcW w:type="dxa" w:w="1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Все этапы</w:t>
            </w:r>
          </w:p>
        </w:tc>
      </w:tr>
    </w:tbl>
    <w:p>
      <w:pPr>
        <w:spacing w:after="160"/>
      </w:pPr>
      <w:r>
        <w:rPr>
          <w:i/>
          <w:iCs/>
          <w:color w:val="555B66"/>
          <w:sz w:val="19"/>
          <w:szCs w:val="19"/>
        </w:rPr>
        <w:t xml:space="preserve">Открытый вопрос, не закрытый ТЗ: что именно означает источник «RAG-компании» — отдельная существующая у заказчика RAG-система или что-то ещё. Уточнить до Этапа 2.</w:t>
      </w:r>
    </w:p>
    <w:p>
      <w:pPr>
        <w:pStyle w:val="Heading1"/>
        <w:spacing w:after="160" w:before="380"/>
      </w:pPr>
      <w:r>
        <w:t xml:space="preserve">2. Календарь по этапам</w:t>
      </w:r>
    </w:p>
    <w:p>
      <w:pPr>
        <w:spacing w:after="100" w:before="260"/>
      </w:pPr>
      <w:r>
        <w:rPr>
          <w:b/>
          <w:bCs/>
          <w:color w:val="1E7A4C"/>
          <w:sz w:val="25"/>
          <w:szCs w:val="25"/>
        </w:rPr>
        <w:t xml:space="preserve">Этап 1 — Подготовка и развёртывание (31.07–06.08.2026) — ВЫПОЛНЕНО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2800"/>
        <w:gridCol w:w="2250"/>
      </w:tblGrid>
      <w:tr>
        <w:trPr>
          <w:tblHeader/>
        </w:trPr>
        <w:tc>
          <w:tcPr>
            <w:tcW w:type="dxa" w:w="43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28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  <w:tc>
          <w:tcPr>
            <w:tcW w:type="dxa" w:w="225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Статус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Открытие доступа к КХД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 — тех. контакт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31.07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Открытие доступа к ESB-шине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 — тех. контакт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31.07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Выделение инфраструктуры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Согласование состава и прав ролей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Совместно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Согласование состава 2 RAG-коллекций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Совместно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Установка и базовая настройка платформы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</w:t>
            </w:r>
          </w:p>
        </w:tc>
      </w:tr>
      <w:tr>
        <w:tc>
          <w:tcPr>
            <w:tcW w:type="dxa" w:w="43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Пробный запуск</w:t>
            </w:r>
          </w:p>
        </w:tc>
        <w:tc>
          <w:tcPr>
            <w:tcW w:type="dxa" w:w="2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  <w:tc>
          <w:tcPr>
            <w:tcW w:type="dxa" w:w="2250"/>
            <w:shd w:fill="E3F1E8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color w:val="1E7A4C"/>
                <w:sz w:val="19"/>
                <w:szCs w:val="19"/>
              </w:rPr>
              <w:t xml:space="preserve">✓ подтверждено</w:t>
            </w:r>
          </w:p>
        </w:tc>
      </w:tr>
    </w:tbl>
    <w:p>
      <w:pPr>
        <w:spacing w:after="100" w:before="260"/>
      </w:pPr>
      <w:r>
        <w:rPr>
          <w:b/>
          <w:bCs/>
          <w:color w:val="0F2A4A"/>
          <w:sz w:val="25"/>
          <w:szCs w:val="25"/>
        </w:rPr>
        <w:t xml:space="preserve">Этап 2 — Интеграция (07.08–20.08.2026) — 7 дорожек, параллельно</w:t>
      </w:r>
    </w:p>
    <w:p>
      <w:pPr>
        <w:spacing w:after="160"/>
      </w:pPr>
      <w:r>
        <w:rPr>
          <w:i/>
          <w:iCs/>
          <w:color w:val="555B66"/>
          <w:sz w:val="19"/>
          <w:szCs w:val="19"/>
        </w:rPr>
        <w:t xml:space="preserve">Дни считаются рабочими от начала этапа (07.08 = День 1).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A — КХД</w:t>
      </w:r>
    </w:p>
    <w:p>
      <w:pPr>
        <w:spacing w:after="90"/>
      </w:pPr>
      <w:r>
        <w:rPr>
          <w:sz w:val="21"/>
          <w:szCs w:val="21"/>
        </w:rPr>
        <w:t xml:space="preserve">— A1. Read-only коннектор к согласованным схемам/таблицам — АйТиКью Про, дни 1–2</w:t>
      </w:r>
    </w:p>
    <w:p>
      <w:pPr>
        <w:spacing w:after="90"/>
      </w:pPr>
      <w:r>
        <w:rPr>
          <w:sz w:val="21"/>
          <w:szCs w:val="21"/>
        </w:rPr>
        <w:t xml:space="preserve">— A2. Тестовые выборки, валидация данных — АйТиКью Про, дни 2–3</w:t>
      </w:r>
    </w:p>
    <w:p>
      <w:pPr>
        <w:spacing w:after="90"/>
      </w:pPr>
      <w:r>
        <w:rPr>
          <w:sz w:val="21"/>
          <w:szCs w:val="21"/>
        </w:rPr>
        <w:t xml:space="preserve">— A3. Сценарий «Платформа-1» (права источник/таблица/колонка) — Совместно, конец нед. 2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B — ESB (справочник клиентов)</w:t>
      </w:r>
    </w:p>
    <w:p>
      <w:pPr>
        <w:spacing w:after="90"/>
      </w:pPr>
      <w:r>
        <w:rPr>
          <w:sz w:val="21"/>
          <w:szCs w:val="21"/>
        </w:rPr>
        <w:t xml:space="preserve">— B1. Спецификация интерфейса + учётные данные — Д8, готово к старту</w:t>
      </w:r>
    </w:p>
    <w:p>
      <w:pPr>
        <w:spacing w:after="90"/>
      </w:pPr>
      <w:r>
        <w:rPr>
          <w:sz w:val="21"/>
          <w:szCs w:val="21"/>
        </w:rPr>
        <w:t xml:space="preserve">— B2. Реализация интеграции с ESB-шиной — АйТиКью Про, дни 1–4</w:t>
      </w:r>
    </w:p>
    <w:p>
      <w:pPr>
        <w:spacing w:after="90"/>
      </w:pPr>
      <w:r>
        <w:rPr>
          <w:sz w:val="21"/>
          <w:szCs w:val="21"/>
        </w:rPr>
        <w:t xml:space="preserve">— B3. Тестовые вызовы, сверка данных клиента — Совместно, дни 4–5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C — MCP-сервер</w:t>
      </w:r>
    </w:p>
    <w:p>
      <w:pPr>
        <w:spacing w:after="90"/>
      </w:pPr>
      <w:r>
        <w:rPr>
          <w:sz w:val="21"/>
          <w:szCs w:val="21"/>
        </w:rPr>
        <w:t xml:space="preserve">— C1. Подключение по спецификации — АйТиКью Про, дни 3–5</w:t>
      </w:r>
    </w:p>
    <w:p>
      <w:pPr>
        <w:spacing w:after="90"/>
      </w:pPr>
      <w:r>
        <w:rPr>
          <w:sz w:val="21"/>
          <w:szCs w:val="21"/>
        </w:rPr>
        <w:t xml:space="preserve">— C2. Проверка перечисления/вызова инструментов — АйТиКью Про, дни 5–6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D — «RAG-компании» (требует уточнения)</w:t>
      </w:r>
    </w:p>
    <w:p>
      <w:pPr>
        <w:spacing w:after="90"/>
      </w:pPr>
      <w:r>
        <w:rPr>
          <w:sz w:val="21"/>
          <w:szCs w:val="21"/>
        </w:rPr>
        <w:t xml:space="preserve">— D0. Уточнить, что это за источник — Совместно, приоритетно, день 1</w:t>
      </w:r>
    </w:p>
    <w:p>
      <w:pPr>
        <w:spacing w:after="90"/>
      </w:pPr>
      <w:r>
        <w:rPr>
          <w:sz w:val="21"/>
          <w:szCs w:val="21"/>
        </w:rPr>
        <w:t xml:space="preserve">— D1. Подключение по итогам уточнения — АйТиКью Про, дни 6–8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E — Ролевая модель (сквозная)</w:t>
      </w:r>
    </w:p>
    <w:p>
      <w:pPr>
        <w:spacing w:after="90"/>
      </w:pPr>
      <w:r>
        <w:rPr>
          <w:sz w:val="21"/>
          <w:szCs w:val="21"/>
        </w:rPr>
        <w:t xml:space="preserve">— E1. Перевод состава ролей в конкретные права — АйТиКью Про настраивает / Д8 подтверждает, дни 1–5</w:t>
      </w:r>
    </w:p>
    <w:p>
      <w:pPr>
        <w:spacing w:after="90"/>
      </w:pPr>
      <w:r>
        <w:rPr>
          <w:sz w:val="21"/>
          <w:szCs w:val="21"/>
        </w:rPr>
        <w:t xml:space="preserve">— E2. Сценарий «Платформа-2» (права по ФИО/договору) — Совместно, конец нед. 2 / начало нед. 3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F — RAG-корпус (зависит от E)</w:t>
      </w:r>
    </w:p>
    <w:p>
      <w:pPr>
        <w:spacing w:after="90"/>
      </w:pPr>
      <w:r>
        <w:rPr>
          <w:sz w:val="21"/>
          <w:szCs w:val="21"/>
        </w:rPr>
        <w:t xml:space="preserve">— F1. Загрузка 2 коллекций документов — Д8 предоставляет / АйТиКью Про загружает, дни 5–7</w:t>
      </w:r>
    </w:p>
    <w:p>
      <w:pPr>
        <w:spacing w:after="90"/>
      </w:pPr>
      <w:r>
        <w:rPr>
          <w:sz w:val="21"/>
          <w:szCs w:val="21"/>
        </w:rPr>
        <w:t xml:space="preserve">— F2. Индексация с учётом разграничения доступа — АйТиКью Про, дни 7–9</w:t>
      </w:r>
    </w:p>
    <w:p>
      <w:pPr>
        <w:spacing w:after="90"/>
      </w:pPr>
      <w:r>
        <w:rPr>
          <w:sz w:val="21"/>
          <w:szCs w:val="21"/>
        </w:rPr>
        <w:t xml:space="preserve">— F3. Проверка поиска и разграничения между ролями — Совместно, конец нед. 3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Дорожка G — AI Guard → облачная LLM (независима)</w:t>
      </w:r>
    </w:p>
    <w:p>
      <w:pPr>
        <w:spacing w:after="90"/>
      </w:pPr>
      <w:r>
        <w:rPr>
          <w:sz w:val="21"/>
          <w:szCs w:val="21"/>
        </w:rPr>
        <w:t xml:space="preserve">— G1. Учётные данные/API-доступ к модели — Д8, дни 1–2</w:t>
      </w:r>
    </w:p>
    <w:p>
      <w:pPr>
        <w:spacing w:after="90"/>
      </w:pPr>
      <w:r>
        <w:rPr>
          <w:sz w:val="21"/>
          <w:szCs w:val="21"/>
        </w:rPr>
        <w:t xml:space="preserve">— G2. Настройка маршрутизации через AI Guard — АйТиКью Про, дни 1–3</w:t>
      </w:r>
    </w:p>
    <w:p>
      <w:pPr>
        <w:spacing w:after="90"/>
      </w:pPr>
      <w:r>
        <w:rPr>
          <w:sz w:val="21"/>
          <w:szCs w:val="21"/>
        </w:rPr>
        <w:t xml:space="preserve">— G3. Сценарий «Анонимизатор-1» (обезличивание в запросе) — АйТиКью Про, конец нед. 2</w:t>
      </w:r>
    </w:p>
    <w:p>
      <w:pPr>
        <w:spacing w:after="200" w:before="120"/>
      </w:pPr>
      <w:r>
        <w:rPr>
          <w:b/>
          <w:bCs/>
          <w:color w:val="1A7A68"/>
          <w:sz w:val="21"/>
          <w:szCs w:val="21"/>
        </w:rPr>
        <w:t xml:space="preserve">Условие перехода к Этапу 3: </w:t>
      </w:r>
      <w:r>
        <w:rPr>
          <w:sz w:val="21"/>
          <w:szCs w:val="21"/>
        </w:rPr>
        <w:t xml:space="preserve">все 4 источника интегрированы и проверены, ролевая модель подтверждена сценариями «Платформа-1,2», RAG-корпус загружен и проиндексирован, канал к LLM через AI Guard работает и проверен сценарием «Анонимизатор-1».</w:t>
      </w:r>
    </w:p>
    <w:p>
      <w:pPr>
        <w:spacing w:after="100" w:before="260"/>
      </w:pPr>
      <w:r>
        <w:rPr>
          <w:b/>
          <w:bCs/>
          <w:color w:val="0F2A4A"/>
          <w:sz w:val="25"/>
          <w:szCs w:val="25"/>
        </w:rPr>
        <w:t xml:space="preserve">Этап 3 — Опытная эксплуатация (21.08–03.09.2026) — по неделям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Неделя 4 (21–27.08) — основная волна</w:t>
      </w:r>
    </w:p>
    <w:p>
      <w:pPr>
        <w:spacing w:after="90"/>
      </w:pPr>
      <w:r>
        <w:rPr>
          <w:sz w:val="21"/>
          <w:szCs w:val="21"/>
        </w:rPr>
        <w:t xml:space="preserve">— Анонимизатор 2,3,4,5,6 + Платформа 3,4,5,7 — пилотная группа Д8 выполняет, АйТиКью Про фиксирует результаты</w:t>
      </w:r>
    </w:p>
    <w:p>
      <w:pPr>
        <w:spacing w:after="80" w:before="200"/>
      </w:pPr>
      <w:r>
        <w:rPr>
          <w:b/>
          <w:bCs/>
          <w:i/>
          <w:iCs/>
          <w:color w:val="1A7A68"/>
          <w:sz w:val="22"/>
          <w:szCs w:val="22"/>
        </w:rPr>
        <w:t xml:space="preserve">Неделя 5 (28.08–03.09) — остаток + обучение</w:t>
      </w:r>
    </w:p>
    <w:p>
      <w:pPr>
        <w:spacing w:after="90"/>
      </w:pPr>
      <w:r>
        <w:rPr>
          <w:sz w:val="21"/>
          <w:szCs w:val="21"/>
        </w:rPr>
        <w:t xml:space="preserve">— Анонимизатор 7,8,9 + Платформа 6,8; обучение пилотной группы (1 сессия) — АйТиКью Про проводит; сбор обратной связи — совместно</w:t>
      </w:r>
    </w:p>
    <w:p>
      <w:pPr>
        <w:spacing w:after="100" w:before="260"/>
      </w:pPr>
      <w:r>
        <w:rPr>
          <w:b/>
          <w:bCs/>
          <w:color w:val="0F2A4A"/>
          <w:sz w:val="25"/>
          <w:szCs w:val="25"/>
        </w:rPr>
        <w:t xml:space="preserve">Этап 4 — Оценка и отчёт (04.09–10.09.2026)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50"/>
      </w:tblGrid>
      <w:tr>
        <w:trPr>
          <w:tblHeader/>
        </w:trPr>
        <w:tc>
          <w:tcPr>
            <w:tcW w:type="dxa" w:w="62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Подзадача</w:t>
            </w:r>
          </w:p>
        </w:tc>
        <w:tc>
          <w:tcPr>
            <w:tcW w:type="dxa" w:w="315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Ответственный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Анализ результатов по всем 17 сценариям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Итоговый отчёт + презентация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Рекомендации по промышленному внедрению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ТЗ на новый функционал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АйТиКью Про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Обратная связь по итогам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 — пилотная группа + тех. контакт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Решение о промышленной эксплуатации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Д8 — руководство</w:t>
            </w:r>
          </w:p>
        </w:tc>
      </w:tr>
      <w:tr>
        <w:tc>
          <w:tcPr>
            <w:tcW w:type="dxa" w:w="6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Подписание Акта сдачи-приёмки</w:t>
            </w:r>
          </w:p>
        </w:tc>
        <w:tc>
          <w:tcPr>
            <w:tcW w:type="dxa" w:w="31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А.Б. Шаронин / В.В. Грицук</w:t>
            </w:r>
          </w:p>
        </w:tc>
      </w:tr>
    </w:tbl>
    <w:p>
      <w:pPr>
        <w:pStyle w:val="Heading1"/>
        <w:spacing w:after="160" w:before="380"/>
      </w:pPr>
      <w:r>
        <w:t xml:space="preserve">3. Матрица тестовых сценариев</w:t>
      </w:r>
    </w:p>
    <w:p>
      <w:pPr>
        <w:spacing w:after="100" w:before="260"/>
      </w:pPr>
      <w:r>
        <w:rPr>
          <w:b/>
          <w:bCs/>
          <w:color w:val="1A7A68"/>
          <w:sz w:val="25"/>
          <w:szCs w:val="25"/>
        </w:rPr>
        <w:t xml:space="preserve">Блок «Анонимизатор» (AI Guard) — 9 сценариев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4700"/>
        <w:gridCol w:w="2050"/>
      </w:tblGrid>
      <w:tr>
        <w:trPr>
          <w:tblHeader/>
        </w:trPr>
        <w:tc>
          <w:tcPr>
            <w:tcW w:type="dxa" w:w="4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2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47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</w:t>
            </w:r>
          </w:p>
        </w:tc>
        <w:tc>
          <w:tcPr>
            <w:tcW w:type="dxa" w:w="205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Обезличивание в запросе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≥20 запросов, 100% замаскировано, релевантность ≥90%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Обезличивание в документе (7 форматов)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док./формат, ≥98% замаскировано, 0 утечек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Восстановление в ответе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 меток верно на ≥15 запросах с 2+ сущностями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Журналирование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 запросов в журнале; доступ — по ролям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2–3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Разграничение доступа (роль × модель)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комбинаций, 100% по матрице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Поведение на «грязных» данных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Факт. % на ≥15 примерах, порог ≥70%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Лимиты пользователей/групп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≥3 сценария, 100% блокировка/восстановление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Работа из агентов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 канала, ≥5 запросов/канал, 100% успех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Потоковое/параллельное использование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параллельных, ≤15 сек, 0 смешения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</w:tbl>
    <w:p>
      <w:pPr>
        <w:spacing w:after="100" w:before="260"/>
      </w:pPr>
      <w:r>
        <w:rPr>
          <w:b/>
          <w:bCs/>
          <w:color w:val="1A7A68"/>
          <w:sz w:val="25"/>
          <w:szCs w:val="25"/>
        </w:rPr>
        <w:t xml:space="preserve">Блок «Платформа» — 8 сценариев</w:t>
      </w:r>
    </w:p>
    <w:tbl>
      <w:tblPr>
        <w:tblW w:type="dxa" w:w="93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4700"/>
        <w:gridCol w:w="2050"/>
      </w:tblGrid>
      <w:tr>
        <w:trPr>
          <w:tblHeader/>
        </w:trPr>
        <w:tc>
          <w:tcPr>
            <w:tcW w:type="dxa" w:w="4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22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470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Критерий приёмки</w:t>
            </w:r>
          </w:p>
        </w:tc>
        <w:tc>
          <w:tcPr>
            <w:tcW w:type="dxa" w:w="2050"/>
            <w:shd w:fill="0F2A4A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Права на источник/таблицу/колонку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≥3 комбинации/уровень, 100% строго по правам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Права на уровне данных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запросов, 100% корректно, 0 ложных допусков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2–3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Доступ через API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100% совпадение с чат-интерфейсом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Анонимизация из подключённых источников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запросов, ≥95% ПДн обезличено/восстановлено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Комплексные запросы (CRM + DWH)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≥8 случаев, единое зафиксированное поведение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RAG-проверка на нормативку ЦБ РФ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документов, все несоответствия выявлены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Интеграция с почтой (IMAP)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≥5 запросов, 0 кросс-доступа к чужим ящикам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  <w:tr>
        <w:tc>
          <w:tcPr>
            <w:tcW w:type="dxa" w:w="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Сверки данных</w:t>
            </w:r>
          </w:p>
        </w:tc>
        <w:tc>
          <w:tcPr>
            <w:tcW w:type="dxa" w:w="4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≥10 расхождений, 100% выявлено, ≤1 ложное/20</w:t>
            </w:r>
          </w:p>
        </w:tc>
        <w:tc>
          <w:tcPr>
            <w:tcW w:type="dxa" w:w="20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Этап 3</w:t>
            </w:r>
          </w:p>
        </w:tc>
      </w:tr>
    </w:tbl>
    <w:p>
      <w:pPr>
        <w:spacing w:after="160"/>
      </w:pPr>
      <w:r>
        <w:rPr>
          <w:i/>
          <w:iCs/>
          <w:color w:val="555B66"/>
          <w:sz w:val="19"/>
          <w:szCs w:val="19"/>
        </w:rPr>
        <w:t xml:space="preserve">13 из 17 сценариев сконцентрированы на Этапе 3 (2 недели) — распределить по дням заранее.</w:t>
      </w:r>
    </w:p>
    <w:p>
      <w:pPr>
        <w:pStyle w:val="Heading1"/>
        <w:spacing w:after="160" w:before="380"/>
      </w:pPr>
      <w:r>
        <w:t xml:space="preserve">4. Что входит / что не входит</w:t>
      </w:r>
    </w:p>
    <w:p>
      <w:pPr>
        <w:spacing w:after="140"/>
      </w:pPr>
      <w:r>
        <w:rPr>
          <w:sz w:val="21"/>
          <w:szCs w:val="21"/>
        </w:rPr>
        <w:t xml:space="preserve">Не входит (требует допсоглашения при изменении): промышленная эксплуатация; постоянная лицензия; сопровождение после пилота; источники/роли/RAG-коллекции сверх согласованных двух; нагрузочное тестирование и гарантии производительности; стоимость инфраструктуры, GPU, лицензий и оплата API облачной модели; доработки сверх согласованного состава.</w:t>
      </w:r>
    </w:p>
    <w:p>
      <w:pPr>
        <w:pStyle w:val="Heading1"/>
        <w:spacing w:after="160" w:before="380"/>
      </w:pPr>
      <w:r>
        <w:t xml:space="preserve">5. Риски</w:t>
      </w:r>
    </w:p>
    <w:p>
      <w:pPr>
        <w:spacing w:after="90"/>
      </w:pPr>
      <w:r>
        <w:rPr>
          <w:sz w:val="21"/>
          <w:szCs w:val="21"/>
        </w:rPr>
        <w:t xml:space="preserve">— Уже реализовался сдвиг старта на 4 дня (27.07 номинально vs 31.07 фактически) — при повторении на Этапе 2 накопленный сдвиг может утащить Этап 4 за пределы 04.09.</w:t>
      </w:r>
    </w:p>
    <w:p>
      <w:pPr>
        <w:spacing w:after="90"/>
      </w:pPr>
      <w:r>
        <w:rPr>
          <w:sz w:val="21"/>
          <w:szCs w:val="21"/>
        </w:rPr>
        <w:t xml:space="preserve">— Зависимость от ESB-шины Д8 — единственный внешний канал вне контроля подрядчика.</w:t>
      </w:r>
    </w:p>
    <w:p>
      <w:pPr>
        <w:spacing w:after="90"/>
      </w:pPr>
      <w:r>
        <w:rPr>
          <w:sz w:val="21"/>
          <w:szCs w:val="21"/>
        </w:rPr>
        <w:t xml:space="preserve">— Неопределённость источника «RAG-компании» — закрыть до начала Этапа 2.</w:t>
      </w:r>
    </w:p>
    <w:p>
      <w:pPr>
        <w:spacing w:after="90"/>
      </w:pPr>
      <w:r>
        <w:rPr>
          <w:sz w:val="21"/>
          <w:szCs w:val="21"/>
        </w:rPr>
        <w:t xml:space="preserve">— 13 сценариев на 2 недели Этапа 3 — распределить нагрузку заранее.</w:t>
      </w:r>
    </w:p>
    <w:p>
      <w:pPr>
        <w:spacing w:after="90"/>
      </w:pPr>
      <w:r>
        <w:rPr>
          <w:sz w:val="21"/>
          <w:szCs w:val="21"/>
        </w:rPr>
        <w:t xml:space="preserve">— Целевые пороги (≥98%, ≥95%, ≥90%) — не гарантия с первой попытки; объяснить это Д8 заранее.</w:t>
      </w:r>
    </w:p>
    <w:p>
      <w:pPr>
        <w:pBdr>
          <w:top w:val="single" w:color="DFE3E9" w:sz="4" w:space="8"/>
        </w:pBdr>
        <w:spacing w:before="260"/>
      </w:pPr>
      <w:r>
        <w:rPr>
          <w:i/>
          <w:iCs/>
          <w:color w:val="555B66"/>
          <w:sz w:val="17"/>
          <w:szCs w:val="17"/>
        </w:rPr>
        <w:t xml:space="preserve">Источник: docs/analysis/case-03-pilot-execution-plan.md, репозиторий job-RAG.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2026-08-04T15:50:09.190Z</dcterms:created>
  <dcterms:modified xsi:type="dcterms:W3CDTF">2026-08-04T15:50:09.192Z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