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761"/>
          <w:sz w:val="34"/>
          <w:szCs w:val="34"/>
        </w:rPr>
        <w:t xml:space="preserve">Биллинг платформы «Камерата»: разбор расхождения в расчёте стоимости</w:t>
      </w:r>
    </w:p>
    <w:p>
      <w:pPr>
        <w:spacing w:after="320"/>
      </w:pPr>
      <w:r>
        <w:rPr>
          <w:i/>
          <w:iCs/>
          <w:color w:val="5C6B7A"/>
          <w:sz w:val="20"/>
          <w:szCs w:val="20"/>
        </w:rPr>
        <w:t xml:space="preserve">Пилот АО «ИК Д8» · подготовлено по переписке и данным биллинг-интерфейса платформы, 08.09</w:t>
      </w:r>
    </w:p>
    <w:p>
      <w:pPr>
        <w:pStyle w:val="Heading1"/>
        <w:spacing w:after="140" w:before="320"/>
      </w:pPr>
      <w:r>
        <w:t xml:space="preserve">1. Суть вопроса</w:t>
      </w:r>
    </w:p>
    <w:p>
      <w:pPr>
        <w:spacing w:after="140"/>
      </w:pPr>
      <w:r>
        <w:t xml:space="preserve">Тестировщик со стороны заказчика (Юрий Ожгихин) сообщил: ошибка списания токенов ушла, но выгруженная детализация по тарифам (файл invoice_2.xlsx) не сходится с итоговой суммой счёта. Ниже — пошаговый разбор, что именно не сходилось и в чём реальная причина.</w:t>
      </w:r>
    </w:p>
    <w:p>
      <w:pPr>
        <w:pStyle w:val="Heading1"/>
        <w:spacing w:after="140" w:before="320"/>
      </w:pPr>
      <w:r>
        <w:t xml:space="preserve">2. Что такое кэширование токенов (коротко)</w:t>
      </w:r>
    </w:p>
    <w:p>
      <w:pPr>
        <w:spacing w:after="140"/>
      </w:pPr>
      <w:r>
        <w:t xml:space="preserve">Модель каждый запрос заново обрабатывает весь переданный ей контекст — системные инструкции, правила маскирования, историю переписки, приложенные документы. Если один и тот же кусок текста повторяется из запроса в запрос (например, системный промпт платформы), провайдер модели может «запомнить» его обработку на несколько минут и не считать заново — это и есть кэширование.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Кэш-запись (cache write) — первый раз, когда текст ещё не в кэше: модель обрабатывает его и сохраняет результат про запас. Стоит дороже обычного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Кэш-чтение (cache read) — все следующие разы, пока кэш ещё «жив»: модель переиспользует готовое. Стоит значительно дешевле обычного input (обычно ~10% от цены).</w:t>
      </w:r>
    </w:p>
    <w:p>
      <w:pPr>
        <w:spacing w:after="140"/>
      </w:pPr>
      <w:r>
        <w:t xml:space="preserve">Смысл механизма — снизить стоимость повторяющегося контекста. Именно поэтому цена кэш-чтения у всех провайдеров ощутимо ниже цены обычного input.</w:t>
      </w:r>
    </w:p>
    <w:p>
      <w:pPr>
        <w:pStyle w:val="Heading1"/>
        <w:spacing w:after="140" w:before="320"/>
      </w:pPr>
      <w:r>
        <w:t xml:space="preserve">3. Где обнаружено расхождение</w:t>
      </w:r>
    </w:p>
    <w:p>
      <w:pPr>
        <w:spacing w:after="140"/>
      </w:pPr>
      <w:r>
        <w:t xml:space="preserve">В выгруженном файле invoice_2.xlsx для пользователя yuriy.ozhgihin@d8.capital по строке Anthropic Claude API / claude-sonnet-4-6 указаны тариф и объём токенов, по которым можно пересчитать стоимость вручную: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2200"/>
      </w:tblGrid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Тариф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Расчётная стоимость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Input токенов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47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$0.003 / 1К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$0.000141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Output токенов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7 851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$0.015 / 1К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$0.117765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Итого по формуле файла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E7A4C"/>
                <w:sz w:val="19"/>
                <w:szCs w:val="19"/>
              </w:rPr>
              <w:t xml:space="preserve">$0.117906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Фактически указано в файле («Стоимость» / «ИТОГО»)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FBE7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A8393B"/>
                <w:sz w:val="19"/>
                <w:szCs w:val="19"/>
              </w:rPr>
              <w:t xml:space="preserve">$0.37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Итог: расчёт по видимым в файле тарифным колонкам ($0.117906) в </w:t>
      </w:r>
      <w:r>
        <w:rPr>
          <w:b/>
          <w:bCs/>
          <w:sz w:val="21"/>
          <w:szCs w:val="21"/>
        </w:rPr>
        <w:t xml:space="preserve">3,1 раза меньше</w:t>
      </w:r>
      <w:r>
        <w:rPr>
          <w:sz w:val="21"/>
          <w:szCs w:val="21"/>
        </w:rPr>
        <w:t xml:space="preserve"> суммы, указанной как итоговая стоимость ($0.37). Формула сама с собой сходится, но не сходится с итогом рядом.</w:t>
      </w:r>
    </w:p>
    <w:p>
      <w:pPr>
        <w:pStyle w:val="Heading1"/>
        <w:spacing w:after="140" w:before="320"/>
      </w:pPr>
      <w:r>
        <w:t xml:space="preserve">4. Что показал биллинг-интерфейс платформы (вкладка «Свод»)</w:t>
      </w:r>
    </w:p>
    <w:p>
      <w:pPr>
        <w:spacing w:after="140"/>
      </w:pPr>
      <w:r>
        <w:t xml:space="preserve">В самом интерфейсе платформы (раздел Биллинг → Свод) обнаружились две отдельные колонки, которых не было в старой Excel-выгрузке: «Кэш read» и «Кэш write». Они показывают реальный объём кэш-трафика: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950"/>
        <w:gridCol w:w="1150"/>
        <w:gridCol w:w="1150"/>
        <w:gridCol w:w="950"/>
        <w:gridCol w:w="1300"/>
      </w:tblGrid>
      <w:tr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Провайдер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Вызовов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Input (некэш)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Кэш read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Кэш write</w:t>
            </w:r>
          </w:p>
        </w:tc>
        <w:tc>
          <w:tcPr>
            <w:tcW w:type="dxa" w:w="1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Anthropic (Claude API)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29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55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34 761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54 824</w:t>
            </w:r>
          </w:p>
        </w:tc>
        <w:tc>
          <w:tcPr>
            <w:tcW w:type="dxa" w:w="1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0.41 USD</w:t>
            </w:r>
          </w:p>
        </w:tc>
      </w:tr>
      <w:tr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anthropic (claude ap...)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2 529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FBE7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A8393B"/>
                <w:sz w:val="19"/>
                <w:szCs w:val="19"/>
              </w:rPr>
              <w:t xml:space="preserve">0.00 RUB</w:t>
            </w:r>
          </w:p>
        </w:tc>
      </w:tr>
      <w:tr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Anthropic (Claude AP...)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121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217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FBE7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A8393B"/>
                <w:sz w:val="19"/>
                <w:szCs w:val="19"/>
              </w:rPr>
              <w:t xml:space="preserve">0.00 RUB</w:t>
            </w:r>
          </w:p>
        </w:tc>
      </w:tr>
      <w:tr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openai (VLLM loc / ext), ollama и др. (self-hosted)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Qwen3.8-27B, Muse-Glimmer-30B и др.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десятки строк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до 5,6 млн</w:t>
            </w:r>
          </w:p>
        </w:tc>
        <w:tc>
          <w:tcPr>
            <w:tcW w:type="dxa" w:w="11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0.00 RUB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Некэшированный input по этой связке — всего 55 токенов. Основной объём (89 585 токенов) — это кэш-чтение и кэш-запись, которых в старой выгрузке не было видно вообще. Это и объясняет, почему детализация «не сходилась»: в ней физически не было граф под самую крупную статью расходов.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8393B"/>
        </w:rPr>
        <w:t xml:space="preserve">Отдельная находка: у трёх других строк с тем же провайдером и моделью (например, 121 вызов, 217 input, 17 182 output) стоимость показана как 0.00 RUB — хотя по тем же тарифам она должна быть около $0.26. Похоже, тариф применяется не ко всем вызовам одного и того же провайдера/модели — возможно, из-за того, что название провайдера записывается с разным регистром букв («Anthropic» / «anthropic»), и это ломает сопоставление с тарифом.</w:t>
      </w:r>
    </w:p>
    <w:p>
      <w:pPr>
        <w:pStyle w:val="Heading1"/>
        <w:spacing w:after="140" w:before="320"/>
      </w:pPr>
      <w:r>
        <w:t xml:space="preserve">5. Найденная причина расхождения по кэшу (вкладка «Тарифы»)</w:t>
      </w:r>
    </w:p>
    <w:p>
      <w:pPr>
        <w:spacing w:after="140"/>
      </w:pPr>
      <w:r>
        <w:t xml:space="preserve">В настройках тарифа для Anthropic claude-sonnet-4-6 обнаружены поля «Кэш read ×» и «Кэш write ×» — оба со значением × 1. Это означает: кэш-токены тарифицируются по той же цене, что и обычный input, без скидки на чтение и без наценки на запись.</w:t>
      </w:r>
    </w:p>
    <w:p>
      <w:pPr>
        <w:spacing w:after="140"/>
      </w:pPr>
      <w:r>
        <w:t xml:space="preserve">Проверка обратным расчётом (данные из строки 29 вызовов, раздел 4) подтверждает, что множитель ×1/×1 — это не заглушка формы, а реально применяемая логика: результат совпадает с показанной стоимостью до цента.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00"/>
        <w:gridCol w:w="3100"/>
      </w:tblGrid>
      <w:tr>
        <w:tc>
          <w:tcPr>
            <w:tcW w:type="dxa" w:w="3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Компонент расчёта</w:t>
            </w:r>
          </w:p>
        </w:tc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Сумма, $</w:t>
            </w:r>
          </w:p>
        </w:tc>
      </w:tr>
      <w:tr>
        <w:tc>
          <w:tcPr>
            <w:tcW w:type="dxa" w:w="3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Input (некэш) — по тарифу input</w:t>
            </w:r>
          </w:p>
        </w:tc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55 × 0.003 / 1000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0.000165</w:t>
            </w:r>
          </w:p>
        </w:tc>
      </w:tr>
      <w:tr>
        <w:tc>
          <w:tcPr>
            <w:tcW w:type="dxa" w:w="3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Кэш read — по тарифу input × 1 (текущий множитель)</w:t>
            </w:r>
          </w:p>
        </w:tc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34 761 × 0.003 / 1000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0.104283</w:t>
            </w:r>
          </w:p>
        </w:tc>
      </w:tr>
      <w:tr>
        <w:tc>
          <w:tcPr>
            <w:tcW w:type="dxa" w:w="3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Кэш write — по тарифу input × 1 (текущий множитель)</w:t>
            </w:r>
          </w:p>
        </w:tc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54 824 × 0.003 / 1000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0.164472</w:t>
            </w:r>
          </w:p>
        </w:tc>
      </w:tr>
      <w:tr>
        <w:tc>
          <w:tcPr>
            <w:tcW w:type="dxa" w:w="3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Output — по тарифу output</w:t>
            </w:r>
          </w:p>
        </w:tc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9 675 × 0.015 / 1000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0.145125</w:t>
            </w:r>
          </w:p>
        </w:tc>
      </w:tr>
      <w:tr>
        <w:tc>
          <w:tcPr>
            <w:tcW w:type="dxa" w:w="3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Итого по обратному расчёту</w:t>
            </w:r>
          </w:p>
        </w:tc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E7A4C"/>
                <w:sz w:val="19"/>
                <w:szCs w:val="19"/>
              </w:rPr>
              <w:t xml:space="preserve">$0.41405 ≈ $0.41</w:t>
            </w:r>
          </w:p>
        </w:tc>
      </w:tr>
      <w:tr>
        <w:tc>
          <w:tcPr>
            <w:tcW w:type="dxa" w:w="3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Фактически показано в интерфейсе платформы</w:t>
            </w:r>
          </w:p>
        </w:tc>
        <w:tc>
          <w:tcPr>
            <w:tcW w:type="dxa" w:w="2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E7A4C"/>
                <w:sz w:val="19"/>
                <w:szCs w:val="19"/>
              </w:rPr>
              <w:t xml:space="preserve">$0.41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Как это соотносится с типичной практикой провайдеров: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000"/>
      </w:tblGrid>
      <w:tr>
        <w:tc>
          <w:tcPr>
            <w:tcW w:type="dxa" w:w="3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Тип токена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Множитель сейчас в тарифе платформы</w:t>
            </w:r>
          </w:p>
        </w:tc>
        <w:tc>
          <w:tcPr>
            <w:tcW w:type="dxa" w:w="30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Типичная практика провайдеров (Anthropic и др.)</w:t>
            </w:r>
          </w:p>
        </w:tc>
      </w:tr>
      <w:tr>
        <w:tc>
          <w:tcPr>
            <w:tcW w:type="dxa" w:w="3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Кэш read (переиспользование)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FBE7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393B"/>
                <w:sz w:val="19"/>
                <w:szCs w:val="19"/>
              </w:rPr>
              <w:t xml:space="preserve">× 1  (как обычный input)</w:t>
            </w:r>
          </w:p>
        </w:tc>
        <w:tc>
          <w:tcPr>
            <w:tcW w:type="dxa" w:w="30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≈ × 0.1  (в 10 раз дешевле input)</w:t>
            </w:r>
          </w:p>
        </w:tc>
      </w:tr>
      <w:tr>
        <w:tc>
          <w:tcPr>
            <w:tcW w:type="dxa" w:w="33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Кэш write (сохранение)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FBF0D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3630F"/>
                <w:sz w:val="19"/>
                <w:szCs w:val="19"/>
              </w:rPr>
              <w:t xml:space="preserve">× 1  (как обычный input)</w:t>
            </w:r>
          </w:p>
        </w:tc>
        <w:tc>
          <w:tcPr>
            <w:tcW w:type="dxa" w:w="30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≈ × 1.25–2  (дороже input, премия за запись)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При типичной схеме (read ×0.1, write ×1.25) эта же строка стоила бы примерно </w:t>
      </w:r>
      <w:r>
        <w:rPr>
          <w:b/>
          <w:bCs/>
          <w:sz w:val="21"/>
          <w:szCs w:val="21"/>
        </w:rPr>
        <w:t xml:space="preserve">$0.36</w:t>
      </w:r>
      <w:r>
        <w:rPr>
          <w:sz w:val="21"/>
          <w:szCs w:val="21"/>
        </w:rPr>
        <w:t xml:space="preserve"> вместо $0.41 — то есть текущая настройка завышает стоимость минимум на ~15% на этом объёме, и эффект накапливается пропорционально объёму кэш-трафика.</w:t>
      </w:r>
    </w:p>
    <w:p>
      <w:pPr>
        <w:pStyle w:val="Heading1"/>
        <w:spacing w:after="140" w:before="320"/>
      </w:pPr>
      <w:r>
        <w:t xml:space="preserve">6. Связь с уже выставленными счетами</w:t>
      </w:r>
    </w:p>
    <w:p>
      <w:pPr>
        <w:spacing w:after="140"/>
      </w:pPr>
      <w:r>
        <w:t xml:space="preserve">Во вкладке «Счета» за сентябрь 2026 сформировано три черновика — счёт №2 (user yuriy.ozhgihin@d8..., $0.37, 166 вызовов) — это ровно тот же файл invoice_2.xlsx, который разбирался в разделе 3.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00"/>
        <w:gridCol w:w="1600"/>
        <w:gridCol w:w="1700"/>
      </w:tblGrid>
      <w:tr>
        <w:tc>
          <w:tcPr>
            <w:tcW w:type="dxa" w:w="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Сумма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5C6B7A"/>
                <w:sz w:val="18"/>
                <w:szCs w:val="18"/>
              </w:rPr>
              <w:t xml:space="preserve">Вызовов</w:t>
            </w:r>
          </w:p>
        </w:tc>
      </w:tr>
      <w:tr>
        <w:tc>
          <w:tcPr>
            <w:tcW w:type="dxa" w:w="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2026-09-01 – 2026-10-01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global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0.40 USD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1 385</w:t>
            </w:r>
          </w:p>
        </w:tc>
      </w:tr>
      <w:tr>
        <w:tc>
          <w:tcPr>
            <w:tcW w:type="dxa" w:w="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2026-09-01 – 2026-10-01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user yuriy.ozhgihin@d8...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FBE7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A8393B"/>
                <w:sz w:val="19"/>
                <w:szCs w:val="19"/>
              </w:rPr>
              <w:t xml:space="preserve">0.37 USD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166</w:t>
            </w:r>
          </w:p>
        </w:tc>
      </w:tr>
      <w:tr>
        <w:tc>
          <w:tcPr>
            <w:tcW w:type="dxa" w:w="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2026-09-01 – 2026-10-01</w:t>
            </w:r>
          </w:p>
        </w:tc>
        <w:tc>
          <w:tcPr>
            <w:tcW w:type="dxa" w:w="22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global</w:t>
            </w:r>
          </w:p>
        </w:tc>
        <w:tc>
          <w:tcPr>
            <w:tcW w:type="dxa" w:w="1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0.01 USD</w:t>
            </w:r>
          </w:p>
        </w:tc>
        <w:tc>
          <w:tcPr>
            <w:tcW w:type="dxa" w:w="1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1 035</w:t>
            </w:r>
          </w:p>
        </w:tc>
      </w:tr>
    </w:tbl>
    <w:p>
      <w:pPr>
        <w:pStyle w:val="Heading1"/>
        <w:spacing w:after="140" w:before="320"/>
      </w:pPr>
      <w:r>
        <w:t xml:space="preserve">7. Что стоит уточнить у разработчика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Множители «Кэш read ×» / «Кэш write ×» = ×1/×1 в тарифе claude-sonnet-4-6 — осознанная упрощённая настройка или недосмотр? Если недосмотр — скидка на кэш-чтение сейчас не работает вообще, и это стоит поправить до выставления финальных (не draft) счетов.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Почему часть вызовов одного и того же платного провайдера/модели (Anthropic claude-sonnet-4-6) считается по нулевой стоимости — совпадает ли это с разным регистром написания имени провайдера в логах?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Правило Андрея Савичева «кэши только с сегодня правильно считаются, до сегодня их версия не учитывала» — относится ли это только к появлению колонок Кэш read/write в интерфейсе, или также к множителям тарифа? Будут ли пересчитаны задним числом уже сформированные (draft) счета за сентябрь?</w:t>
      </w:r>
    </w:p>
    <w:p>
      <w:pPr>
        <w:spacing w:after="200"/>
      </w:pPr>
    </w:p>
    <w:p>
      <w:r>
        <w:rPr>
          <w:i/>
          <w:iCs/>
          <w:color w:val="5C6B7A"/>
          <w:sz w:val="17"/>
          <w:szCs w:val="17"/>
        </w:rPr>
        <w:t xml:space="preserve">Источники: invoice_2.xlsx (выгрузка биллинга, пользователь yuriy.ozhgihin@d8.capital), интерфейс платформы «Камерата» — раздел Биллинг (вкладки Свод / Тарифы / Счета), переписка команды «Пилот Д8 &amp; ITQ Pro» / «Команда Д8 &amp; ITQ Pro» за 08.09.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2026-09-08T12:28:12.039Z</dcterms:created>
  <dcterms:modified xsi:type="dcterms:W3CDTF">2026-09-08T12:28:12.057Z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