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6E63"/>
          <w:sz w:val="36"/>
          <w:szCs w:val="36"/>
        </w:rPr>
        <w:t xml:space="preserve">ИНСТРУКЦИЯ</w:t>
      </w:r>
    </w:p>
    <w:p>
      <w:pPr>
        <w:spacing w:after="260"/>
      </w:pPr>
      <w:r>
        <w:rPr>
          <w:rFonts w:ascii="Arial" w:cs="Arial" w:eastAsia="Arial" w:hAnsi="Arial"/>
          <w:b/>
          <w:bCs/>
          <w:color w:val="14181F"/>
          <w:sz w:val="24"/>
          <w:szCs w:val="24"/>
        </w:rPr>
        <w:t xml:space="preserve">Покрытие маскирования vs «Перечень информации, составляющей коммерческую тайну АО «Инвестиционная компания Д8», версия 3.0»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5B6570"/>
          <w:sz w:val="19"/>
          <w:szCs w:val="19"/>
        </w:rPr>
        <w:t xml:space="preserve">Документ фиксирует, что было сделано по задаче сопоставления перечня коммерческой тайны заказчика Д8 со встроенными типами PII-маскировщика платформы, и что осталось уточнить у заказчика перед пилотом.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E6E63"/>
          <w:sz w:val="28"/>
          <w:szCs w:val="28"/>
        </w:rPr>
        <w:t xml:space="preserve">1. Источник и контекст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Заказчик — АО «Инвестиционная компания Д8» — предоставил официальный перечень сведений, составляющих коммерческую тайну: Приложение №2 к приказу Генерального директора от 18.05.2026 № 26-18/05-1.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1"/>
          <w:szCs w:val="21"/>
        </w:rPr>
        <w:t xml:space="preserve">Файл источника: docs/sources/commercial-secret-perechen-d8-v3.pdf — скан документа без текстового слоя (распознан вручную построчно).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1"/>
          <w:szCs w:val="21"/>
        </w:rPr>
        <w:t xml:space="preserve">Перечень состоит из 5 разделов и 30 отдельных пунктов/подпунктов: 1) информация о клиентах, 2) контрагенты и партнёры, 3) автоматизация деятельности, 4) обеспечение безопасности, 5) использование ИИ.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Задача: понять, какие пункты перечня уже покрываются встроенными типами PII платформы (маскируются автоматически), какие — частично, а какие полностью выходят за рамки PII-маскирования и требуют либо кастомных типов, либо иных мер контроля (RBAC, DLP, организационные политики).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E6E63"/>
          <w:sz w:val="28"/>
          <w:szCs w:val="28"/>
        </w:rPr>
        <w:t xml:space="preserve">2. Методология анализа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Каждый из 30 пунктов перечня сопоставлен вручную с каталогом встроенных PIIType платформы. Присвоен один из трёх статусов: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1"/>
          <w:szCs w:val="21"/>
        </w:rPr>
        <w:t xml:space="preserve">«Маскируется» — формулировка заказчика напрямую совпадает со встроенным типом (например, ФИО → PERSON/FULL_NAME, телефон → PHONE).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1"/>
          <w:szCs w:val="21"/>
        </w:rPr>
        <w:t xml:space="preserve">«Частично» — тип есть, но покрывает не весь объём требования заказчика (например, PASSPORT покрывает только паспорт РФ, а заказчик пишет шире — «документы, удостоверяющие личность»).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1"/>
          <w:szCs w:val="21"/>
        </w:rPr>
        <w:t xml:space="preserve">«Не маскируется» — сведения не являются именованной PII-сущностью (финансово-операционные детали, IT-инфраструктура, ИБ-меры, договорная информация) и вне текущего скоупа PII-маскировщика.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Нумерация пунктов в таблице сохранена как в оригинале заказчика (1.1, 1.2, 1.3 …) — без изобретения собственной сквозной нумерации, чтобы результат анализа было легко сверять с исходным документом заказчика построчно.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Результат оформлен как построчная таблица (одна строка = один пункт перечня) в файле docs/analysis/pokrytie-maskirovaniya-perechen-d8.xlsx, лист «Покрытие маскирования»: пункт, раздел, требование заказчика, наш тип/код, статус, комментарий.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E6E63"/>
          <w:sz w:val="28"/>
          <w:szCs w:val="28"/>
        </w:rPr>
        <w:t xml:space="preserve">3. Результаты покрытия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Из 30 пунктов перечня: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350"/>
        <w:gridCol w:w="2350"/>
      </w:tblGrid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6E6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6E6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Количество пунктов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6E6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Доля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3F1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7A4C"/>
                <w:sz w:val="19"/>
                <w:szCs w:val="19"/>
              </w:rPr>
              <w:t xml:space="preserve">Маскируется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13%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F0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93630F"/>
                <w:sz w:val="19"/>
                <w:szCs w:val="19"/>
              </w:rPr>
              <w:t xml:space="preserve">Частично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13%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7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A8393B"/>
                <w:sz w:val="19"/>
                <w:szCs w:val="19"/>
              </w:rPr>
              <w:t xml:space="preserve">Не маскируется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73%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 пунктов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23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40" w:before="200"/>
      </w:pP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Полностью покрыты («Маскируется») — базовые персональные идентификаторы клиента: ФИО, адрес, телефон, email. Частично покрыты — документы, удостоверяющие личность (только паспорт РФ), информация о представителях/бенефициарах, ФИО/наименование клиента с уникальным кодом, информация о контрагентах.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Основной объём пунктов (22 из 30, 73%) относится к финансово-операционным данным (сделки, займы, задолженность, остатки по счетам), IT-инфраструктуре, организационно-технической информации об ИБ и политике работы с ИИ — эти категории по своей природе не являются именованными PII-сущностями и не покрываются PII-маскировщиком напрямую.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Подробности и доли по каждому статусу — лист «Сводка» в том же файле xlsx.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E6E63"/>
          <w:sz w:val="28"/>
          <w:szCs w:val="28"/>
        </w:rPr>
        <w:t xml:space="preserve">4. Открытые вопросы к заказчику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Для всех 22 пунктов со статусом «Не маскируется» в таблице (столбец G «Вопрос к заказчику») сформулирован конкретный уточняющий вопрос с примером из практики — чтобы понять, что именно заказчик ожидает маскировать: весь документ целиком, конкретное поле/сумму, или пункт закрывается не PII-маскированием, а организационными/DLP-мерами.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Логика вопросов группируется по трём типам: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sz w:val="21"/>
          <w:szCs w:val="21"/>
        </w:rPr>
        <w:t xml:space="preserve">Финансово-операционные детали (п. 1.3–1.5, 8 пунктов) — нужен ли отдельный кастомный тип (например, «НОМЕР_ДОГОВОРА»), или достаточно уже маскируемых ФИО/сумм, встречающихся в том же тексте.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sz w:val="21"/>
          <w:szCs w:val="21"/>
        </w:rPr>
        <w:t xml:space="preserve">IT-инфраструктура и ИБ (п. 3.1–3.4, 4.1–4.6, 10 пунктов) — подтверждение, что контроль обеспечивается организационными/техническими мерами (RBAC, журналирование доступа, запрет передачи в ИИ), а не PII-маскировщиком.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sz w:val="21"/>
          <w:szCs w:val="21"/>
        </w:rPr>
        <w:t xml:space="preserve">Политика работы с ИИ и договорная информация (п. 1.1, 2.2, 5.1–5.2, 4 пункта) — уточнение, должна ли проверка работать на уровне блокировки документа целиком при обнаружении данных из разделов 1–4, или требуется маскирование конкретных полей.</w:t>
      </w:r>
    </w:p>
    <w:p>
      <w:pPr>
        <w:spacing w:after="140" w:line="300"/>
      </w:pPr>
      <w:r>
        <w:rPr>
          <w:rFonts w:ascii="Arial" w:cs="Arial" w:eastAsia="Arial" w:hAnsi="Arial"/>
          <w:sz w:val="21"/>
          <w:szCs w:val="21"/>
        </w:rPr>
        <w:t xml:space="preserve">Полный список всех 22 вопросов с примерами — в файле docs/analysis/pokrytie-maskirovaniya-perechen-d8.xlsx, лист «Покрытие маскирования», столбец «Вопрос к заказчику (для уточнения объёма маскирования)». Ответы заказчика необходимы до начала разработки кастомных типов и настройки политик пилота.</w:t>
      </w:r>
    </w:p>
    <w:p>
      <w:pPr>
        <w:pBdr>
          <w:top w:val="single" w:color="D9D9D9" w:sz="6" w:space="6"/>
        </w:pBdr>
        <w:spacing w:before="360"/>
      </w:pPr>
      <w:r>
        <w:rPr>
          <w:rFonts w:ascii="Arial" w:cs="Arial" w:eastAsia="Arial" w:hAnsi="Arial"/>
          <w:i/>
          <w:iCs/>
          <w:color w:val="5B6570"/>
          <w:sz w:val="17"/>
          <w:szCs w:val="17"/>
        </w:rPr>
        <w:t xml:space="preserve">Связанные файлы: docs/sources/commercial-secret-perechen-d8-v3.pdf · docs/analysis/pokrytie-maskirovaniya-perechen-d8.xlsx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2026-08-13T07:46:29.293Z</dcterms:created>
  <dcterms:modified xsi:type="dcterms:W3CDTF">2026-08-13T07:46:29.305Z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