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4181F"/>
          <w:sz w:val="32"/>
          <w:szCs w:val="32"/>
        </w:rPr>
        <w:t xml:space="preserve">Пример маскирования: отчёт брокера</w:t>
      </w:r>
    </w:p>
    <w:p>
      <w:pPr>
        <w:spacing w:after="2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АО «Инвестиционная компания Д8» — практический пример на самом распространённом документе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Отчёт брокера — документ, который чаще всего встречается в работе с клиентами. Ниже показано, как он выглядит до обработки, какой вариант маскирования мы рассмотрели и отклонили, и какая схема используется в итоге.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1. Исходный документ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Так выглядит отчёт брокера без какой-либо обработки.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Поле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Клиент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Ожигихин Юрий Юрьевич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Договор №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ВР33431 от 24.09.2019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Брокерский счёт / лицевой счёт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ВР33431 / ВР33431-МО-01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Баланс счёта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16 634,88 → 16 623,07 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Портфель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ОФЗ-ПД225 (RU000A0ZYUB7) — 1 шт; ВТБ ПАО ао07 (RU000A0JP5V6) — 13 шт; Сбербанк ПАО ао03 (RU0009029540) — 6 шт; паи БПИФ — 1 шт; USD — 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Подписи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Корчагин В.В., Губарева С.А.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Брокер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АО «Инвестиционная компания Д8», лицензия № 045-0751…, г. Москва, Пресненский р-н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2. Вариант 1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Исходные данные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отчёт брокера — см. раздел 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Маскируем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ФИО клиента, название компании</w:t>
            </w:r>
          </w:p>
        </w:tc>
      </w:tr>
    </w:tbl>
    <w:p>
      <w:pPr>
        <w:spacing w:after="140" w:line="30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Вывод: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Не защищает данные. Номер договора и точный состав портфеля сами по себе позволяют определить, о каком клиенте идёт речь, даже без имени: сочетание конкретных бумаг, их количества и остатка на конкретную дату — редкое и легко узнаваемое. Номер лицензии брокера, если он остаётся открытым, также позволяет установить компанию — он находится в открытом реестре Банка России — независимо от того, скрыто название компании в тексте или нет.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3. Вариант 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Исходные данные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тот же отчёт брокера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Маскируем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ФИО клиента и сотрудников, номер договора/счетов, название/лицензию/адрес брокера</w:t>
            </w:r>
          </w:p>
        </w:tc>
      </w:tr>
    </w:tbl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Что происходит с каждым полем: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Поле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Что происходит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Клиент (ФИО)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Скрывается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Подписи сотрудников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Скрывается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Номер договора, брокерский и лицевой счёт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Скрывается — заменяется меткой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Название, лицензия и адрес брокера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Скрывается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Баланс счёта и состав портфеля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Не скрывается — нужен для анализа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Код ценной бумаги (ISIN)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Не скрывается — общедоступный биржевой код, к клиенту или компании не привязан</w:t>
            </w:r>
          </w:p>
        </w:tc>
      </w:tr>
    </w:tbl>
    <w:p>
      <w:pPr>
        <w:spacing w:after="140" w:line="30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Вывод: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Защищено 7 из 8 полей, аналитическая ценность сохранена — баланс и состав портфеля остаются в исходном виде для анализа.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4. Как это применяется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Баланс счёта и состав портфеля намеренно не скрываются — эти данные нужны для анализа в исходном виде. Поэтому решение — не в том, что скрывать в самом документе, а в том, куда документ может уходить.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Канал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Что происходит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Внутренняя система (данные не покидают периметр)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Документ используется полностью, без ограничений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Внешние ИИ-сервисы (например, OpenAI, Anthropic)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Используется только после маскирования по схеме выше; если документ одновременно содержит номер счёта и таблицу портфеля — не передаётся вообще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5. Что остаётся риском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Полностью исключить риск маскированием одних только текстовых полей невозможно. Точный состав портфеля на конкретную дату — сам по себе редкое, узнаваемое сочетание данных: при пересечении с другой утечкой (не обязательно из этой системы) документ теоретически можно сопоставить с конкретным клиентом даже без прямых идентификаторов. По этой причине для документов с портфелем и счетами по умолчанию рекомендуется внутренний канал, а не внешний.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6. Дальнейшие шаги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Согласовать, в каких случаях документ передаётся во внешний сервис, а в каких — используется только внутри.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Согласовать с разработчиком платформы техническую реализацию новых типов данных — номер договора, номер лицензии.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Проверить результат на реальном документе в рамках пилота.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2026-08-16T09:02:09.254Z</dcterms:created>
  <dcterms:modified xsi:type="dcterms:W3CDTF">2026-08-16T09:02:09.255Z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