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Сценарий демонстрации: живая динамика ответов при обновлении документа</w:t>
      </w:r>
    </w:p>
    <w:p>
      <w:r>
        <w:rPr>
          <w:b/>
        </w:rPr>
        <w:t>Идея:</w:t>
      </w:r>
      <w:r>
        <w:t xml:space="preserve"> задать вопрос на уже готовой коллекции </w:t>
      </w:r>
      <w:r>
        <w:rPr>
          <w:rFonts w:ascii="Consolas" w:hAnsi="Consolas"/>
          <w:sz w:val="20"/>
        </w:rPr>
        <w:t>ЭКО_2</w:t>
      </w:r>
      <w:r>
        <w:t xml:space="preserve"> — получить хороший, верный ответ. Затем вместе с заказчиком отредактировать исходный документ (поменять конкретный факт — можно прямо по просьбе заказчика, «а если бы было так?») или подставить заранее подготовленную «более свежую версию», догрузить её в </w:t>
      </w:r>
      <w:r>
        <w:rPr>
          <w:rFonts w:ascii="Consolas" w:hAnsi="Consolas"/>
          <w:sz w:val="20"/>
        </w:rPr>
        <w:t>ЭКО_2</w:t>
      </w:r>
      <w:r>
        <w:t xml:space="preserve"> и задать тот же вопрос снова. Ответ меняется вслед за документом — оба раза корректно, оба раза с точной ссылкой на актуальную версию. Заказчик видит вживую, как система реагирует на пополнение/актуализацию корпуса, а не верит на слово презентации.</w:t>
      </w:r>
    </w:p>
    <w:p>
      <w:r>
        <w:rPr>
          <w:b/>
        </w:rPr>
        <w:t>`ЭКО_2` не трогаем и ничего не удаляем</w:t>
      </w:r>
      <w:r>
        <w:t xml:space="preserve"> — только добавляем новую версию документа поверх существующей коллекции.</w:t>
      </w:r>
    </w:p>
    <w:p>
      <w:pPr>
        <w:pStyle w:val="Heading2"/>
      </w:pPr>
      <w:r>
        <w:t>Что подготовлено</w:t>
      </w:r>
    </w:p>
    <w:p>
      <w:r>
        <w:t>Каждый кейс — пара «оригинал / обновлённая версия», с единственным осознанно изменённым фактом:</w:t>
      </w:r>
    </w:p>
    <w:p>
      <w:r>
        <w:t xml:space="preserve">- </w:t>
      </w:r>
      <w:r>
        <w:rPr>
          <w:b/>
        </w:rPr>
        <w:t>`demo-live-upload/metodika-38-obnovlena-demo.docx`</w:t>
      </w:r>
      <w:r>
        <w:t xml:space="preserve"> — Методика №38, высота сброса тары объёмом 1,5–5,0 л изменена с </w:t>
      </w:r>
      <w:r>
        <w:rPr>
          <w:b/>
        </w:rPr>
        <w:t>0,8 м</w:t>
      </w:r>
      <w:r>
        <w:t xml:space="preserve"> на </w:t>
      </w:r>
      <w:r>
        <w:rPr>
          <w:b/>
        </w:rPr>
        <w:t>1,0 м</w:t>
      </w:r>
      <w:r>
        <w:t xml:space="preserve"> (остальной текст и таблица — без изменений).</w:t>
      </w:r>
    </w:p>
    <w:p>
      <w:r>
        <w:t xml:space="preserve">- </w:t>
      </w:r>
      <w:r>
        <w:rPr>
          <w:b/>
        </w:rPr>
        <w:t>`demo-live-upload/pr-10-02-00-obnovlena-demo.docx`</w:t>
      </w:r>
      <w:r>
        <w:t xml:space="preserve"> — ПР-10(02)-00 «Ремонтно-механическая служба», ответственный за приоритизацию заявок на ремонт дополнен: было «Приоритетность определяет Начальник ПУ и/или Мастер ПО», стало «Приоритетность определяет </w:t>
      </w:r>
      <w:r>
        <w:rPr>
          <w:b/>
        </w:rPr>
        <w:t>Технический директор</w:t>
      </w:r>
      <w:r>
        <w:t xml:space="preserve"> — в случае его отсутствия решение принимает Начальник ПУ и/или Мастер ПО».</w:t>
      </w:r>
    </w:p>
    <w:p>
      <w:r>
        <w:t xml:space="preserve">Оригиналы этих документов уже в </w:t>
      </w:r>
      <w:r>
        <w:rPr>
          <w:rFonts w:ascii="Consolas" w:hAnsi="Consolas"/>
          <w:sz w:val="20"/>
        </w:rPr>
        <w:t>ЭКО_2</w:t>
      </w:r>
      <w:r>
        <w:t xml:space="preserve"> (</w:t>
      </w:r>
      <w:r>
        <w:rPr>
          <w:rFonts w:ascii="Consolas" w:hAnsi="Consolas"/>
          <w:sz w:val="20"/>
        </w:rPr>
        <w:t>converted-for-upload/metodika-38.docx</w:t>
      </w:r>
      <w:r>
        <w:t xml:space="preserve"> и </w:t>
      </w:r>
      <w:r>
        <w:rPr>
          <w:rFonts w:ascii="Consolas" w:hAnsi="Consolas"/>
          <w:sz w:val="20"/>
        </w:rPr>
        <w:t>converted-for-upload/procedura-pr-10-02-00-remontno-mehanicheskaya-sluzhba.docx</w:t>
      </w:r>
      <w:r>
        <w:t xml:space="preserve">) и уже дают верный ответ на связанные вопросы — сегодня оба проверены (протокол </w:t>
      </w:r>
      <w:r>
        <w:rPr>
          <w:rFonts w:ascii="Consolas" w:hAnsi="Consolas"/>
          <w:sz w:val="20"/>
        </w:rPr>
        <w:t>pilot-test-03-eco2-protocol.md</w:t>
      </w:r>
      <w:r>
        <w:t>, §1b, вопросы 2.3 и 5.2).</w:t>
      </w:r>
    </w:p>
    <w:p>
      <w:pPr>
        <w:pStyle w:val="Heading2"/>
      </w:pPr>
      <w:r>
        <w:t>Подготовка перед встречей</w:t>
      </w:r>
    </w:p>
    <w:p>
      <w:r>
        <w:t xml:space="preserve">1. Убедиться, что </w:t>
      </w:r>
      <w:r>
        <w:rPr>
          <w:rFonts w:ascii="Consolas" w:hAnsi="Consolas"/>
          <w:sz w:val="20"/>
        </w:rPr>
        <w:t>ЭКО_2</w:t>
      </w:r>
      <w:r>
        <w:t xml:space="preserve"> в рабочем состоянии — 27/27 «Готово», область поиска в чате сужена до </w:t>
      </w:r>
      <w:r>
        <w:rPr>
          <w:rFonts w:ascii="Consolas" w:hAnsi="Consolas"/>
          <w:sz w:val="20"/>
        </w:rPr>
        <w:t>ЭКО_2</w:t>
      </w:r>
      <w:r>
        <w:t>.</w:t>
      </w:r>
    </w:p>
    <w:p>
      <w:r>
        <w:t xml:space="preserve">2. Использовать агент </w:t>
      </w:r>
      <w:r>
        <w:rPr>
          <w:b/>
        </w:rPr>
        <w:t>«Синапс.Инсайт — Closed-book RAG (системный)»</w:t>
      </w:r>
      <w:r>
        <w:t xml:space="preserve"> — единственный сегодня подтверждённый как корректно уважающий область поиска (см. протокол, «Критическая находка»/§1a).</w:t>
      </w:r>
    </w:p>
    <w:p>
      <w:r>
        <w:t xml:space="preserve">3. Держать </w:t>
      </w:r>
      <w:r>
        <w:rPr>
          <w:rFonts w:ascii="Consolas" w:hAnsi="Consolas"/>
          <w:sz w:val="20"/>
        </w:rPr>
        <w:t>demo-live-upload/</w:t>
      </w:r>
      <w:r>
        <w:t xml:space="preserve"> открытой на видимом экране.</w:t>
      </w:r>
    </w:p>
    <w:p>
      <w:r>
        <w:t xml:space="preserve">4. </w:t>
      </w:r>
      <w:r>
        <w:rPr>
          <w:b/>
        </w:rPr>
        <w:t>Проверить заранее (не в день демо), как платформа обрабатывает повторную загрузку файла с изменённым содержимым</w:t>
      </w:r>
      <w:r>
        <w:t xml:space="preserve"> — это ключевой неопределённый момент: если новый файл называется иначе, чем старый (как в подготовленных файлах — с суффиксом </w:t>
      </w:r>
      <w:r>
        <w:rPr>
          <w:rFonts w:ascii="Consolas" w:hAnsi="Consolas"/>
          <w:sz w:val="20"/>
        </w:rPr>
        <w:t>-obnovlena-demo</w:t>
      </w:r>
      <w:r>
        <w:t xml:space="preserve">), в коллекции окажутся </w:t>
      </w:r>
      <w:r>
        <w:rPr>
          <w:b/>
        </w:rPr>
        <w:t>два</w:t>
      </w:r>
      <w:r>
        <w:t xml:space="preserve"> документа с частично пересекающимся содержимым: старый (0,8 м) и новый (1,0 м). Есть риск, что platform процитирует не тот, который нужен для эффектного контраста, или смешает оба в одном ответе. Сделать пробный прогон заранее и посмотреть на реальное поведение — от этого зависит, как вести кейс на самой встрече (см. «Если платформа путает версии» ниже).</w:t>
      </w:r>
    </w:p>
    <w:p>
      <w:pPr>
        <w:pStyle w:val="Heading2"/>
      </w:pPr>
      <w:r>
        <w:t>Кейс 1 — высота сброса тары (числовой факт, проще всего контролировать)</w:t>
      </w:r>
    </w:p>
    <w:p>
      <w:r>
        <w:rPr>
          <w:b/>
        </w:rPr>
        <w:t>Шаг 1. Задать вопрос на исходной коллекции:</w:t>
      </w:r>
      <w:r>
        <w:t xml:space="preserve"> «С какой высоты нужно сбрасывать пластиковую тару объёмом от 1,5 до 5 литров, чтобы проверить её прочность?»</w:t>
      </w:r>
    </w:p>
    <w:p>
      <w:r>
        <w:t xml:space="preserve">Ожидаемый ответ (зафиксирован сегодня в 18:48/18:52): «...высота падения должна быть не менее </w:t>
      </w:r>
      <w:r>
        <w:rPr>
          <w:b/>
        </w:rPr>
        <w:t>0,8 м</w:t>
      </w:r>
      <w:r>
        <w:t>», источник — Методика №38.</w:t>
      </w:r>
    </w:p>
    <w:p>
      <w:r>
        <w:rPr>
          <w:b/>
        </w:rPr>
        <w:t>Шаг 2. Показать заказчику документ и предложить изменить значение.</w:t>
      </w:r>
      <w:r>
        <w:t xml:space="preserve"> Можно взять готовый </w:t>
      </w:r>
      <w:r>
        <w:rPr>
          <w:rFonts w:ascii="Consolas" w:hAnsi="Consolas"/>
          <w:sz w:val="20"/>
        </w:rPr>
        <w:t>metodika-38-obnovlena-demo.docx</w:t>
      </w:r>
      <w:r>
        <w:t xml:space="preserve"> (0,8 → 1,0) как есть, либо — эффектнее — открыть исходный </w:t>
      </w:r>
      <w:r>
        <w:rPr>
          <w:rFonts w:ascii="Consolas" w:hAnsi="Consolas"/>
          <w:sz w:val="20"/>
        </w:rPr>
        <w:t>.docx</w:t>
      </w:r>
      <w:r>
        <w:t xml:space="preserve"> прямо при заказчике и на его глазах поменять цифру на любое число, которое он назовёт.</w:t>
      </w:r>
    </w:p>
    <w:p>
      <w:r>
        <w:rPr>
          <w:b/>
        </w:rPr>
        <w:t>Шаг 3. Загрузить обновлённый файл в `ЭКО_2`.</w:t>
      </w:r>
      <w:r>
        <w:t xml:space="preserve"> Дождаться статуса «Готово».</w:t>
      </w:r>
    </w:p>
    <w:p>
      <w:r>
        <w:rPr>
          <w:b/>
        </w:rPr>
        <w:t>Шаг 4. Задать тот же вопрос снова.</w:t>
      </w:r>
      <w:r>
        <w:t xml:space="preserve"> Ожидается: ответ повторяет структуру, но с новым числом («не менее 1,0 м» — или тем значением, которое ввёл заказчик), источник — новая версия документа.</w:t>
      </w:r>
    </w:p>
    <w:p>
      <w:r>
        <w:rPr>
          <w:b/>
        </w:rPr>
        <w:t>Почему этот кейс лучше всего начать:</w:t>
      </w:r>
      <w:r>
        <w:t xml:space="preserve"> единственный изменяемый факт — число, легко проверить на глаз (заказчик сам видит цифру в документе и в ответе), нет риска двусмысленной трактовки «изменился ли ответ».</w:t>
      </w:r>
    </w:p>
    <w:p>
      <w:pPr>
        <w:pStyle w:val="Heading2"/>
      </w:pPr>
      <w:r>
        <w:t>Кейс 2 — ответственный за приоритизацию заявок на ремонт</w:t>
      </w:r>
    </w:p>
    <w:p>
      <w:r>
        <w:rPr>
          <w:b/>
        </w:rPr>
        <w:t>Шаг 1. Задать вопрос:</w:t>
      </w:r>
      <w:r>
        <w:t xml:space="preserve"> «Я механик. Пришло несколько заявок на срочный ремонт. Как понять, какую делать первой?»</w:t>
      </w:r>
    </w:p>
    <w:p>
      <w:r>
        <w:t xml:space="preserve">Ожидаемый ответ (зафиксирован сегодня в 19:14): «...Приоритетность определяет </w:t>
      </w:r>
      <w:r>
        <w:rPr>
          <w:b/>
        </w:rPr>
        <w:t>Начальник ПУ и/или Мастер ПО</w:t>
      </w:r>
      <w:r>
        <w:t>...».</w:t>
      </w:r>
    </w:p>
    <w:p>
      <w:r>
        <w:rPr>
          <w:b/>
        </w:rPr>
        <w:t>Шаг 2–3.</w:t>
      </w:r>
      <w:r>
        <w:t xml:space="preserve"> Загрузить </w:t>
      </w:r>
      <w:r>
        <w:rPr>
          <w:rFonts w:ascii="Consolas" w:hAnsi="Consolas"/>
          <w:sz w:val="20"/>
        </w:rPr>
        <w:t>pr-10-02-00-obnovlena-demo.docx</w:t>
      </w:r>
      <w:r>
        <w:t xml:space="preserve"> (добавлена роль «Технический директор» как основной ответственный). Дождаться «Готово».</w:t>
      </w:r>
    </w:p>
    <w:p>
      <w:r>
        <w:rPr>
          <w:b/>
        </w:rPr>
        <w:t>Шаг 4. Тот же вопрос снова.</w:t>
      </w:r>
      <w:r>
        <w:t xml:space="preserve"> Ожидается: ответ теперь называет Технического директора как основного, с оговоркой про Начальника ПУ/Мастера ПО как резерв.</w:t>
      </w:r>
    </w:p>
    <w:p>
      <w:r>
        <w:rPr>
          <w:b/>
        </w:rPr>
        <w:t>Почему этот кейс — вторым:</w:t>
      </w:r>
      <w:r>
        <w:t xml:space="preserve"> менее «арифметически» очевиден, чем числовой кейс 1, но нагляднее показывает практическую пользу — реальная client-организация меняет зоны ответственности, и RAG-система должна успевать за такими изменениями, а не выдавать устаревший регламент.</w:t>
      </w:r>
    </w:p>
    <w:p>
      <w:pPr>
        <w:pStyle w:val="Heading2"/>
      </w:pPr>
      <w:r>
        <w:t>Если платформа путает версии (оба документа проиндексированы одновременно)</w:t>
      </w:r>
    </w:p>
    <w:p>
      <w:r>
        <w:t>Если по итогам пробного прогона (см. «Подготовка», п. 4) окажется, что ответ после загрузки смешивает старое и новое значение, или карточка источника показывает не ту версию — два пути:</w:t>
      </w:r>
    </w:p>
    <w:p>
      <w:r>
        <w:t xml:space="preserve">1. </w:t>
      </w:r>
      <w:r>
        <w:rPr>
          <w:b/>
        </w:rPr>
        <w:t>Переименовать «старую» копию перед демо</w:t>
      </w:r>
      <w:r>
        <w:t xml:space="preserve"> так, чтобы она перестала совпадать по названию/пути с новой, и явно исключить её из ответа средствами платформы, если такая возможность есть (например, деактивировать документ, если это доступно — проверить в разделе администрирования коллекции).</w:t>
      </w:r>
    </w:p>
    <w:p>
      <w:r>
        <w:t xml:space="preserve">2. </w:t>
      </w:r>
      <w:r>
        <w:rPr>
          <w:b/>
        </w:rPr>
        <w:t>Сменить формулировку вопроса на второй заход</w:t>
      </w:r>
      <w:r>
        <w:t>, чтобы явно попросить актуальную информацию («какая последняя редакция Методики №38 по высоте сброса тары для тары 1,5–5 литров?») — это не так эффектно, но остаётся честной демонстрацией того, что новый документ действительно проиндексирован и виден системе.</w:t>
      </w:r>
    </w:p>
    <w:p>
      <w:r>
        <w:t>Не обещать заказчику идеальное поведение заранее — сначала прогнать оба кейса самостоятельно хотя бы один раз до встречи.</w:t>
      </w:r>
    </w:p>
    <w:p>
      <w:pPr>
        <w:pStyle w:val="Heading2"/>
      </w:pPr>
      <w:r>
        <w:t>Порядок показа</w:t>
      </w:r>
    </w:p>
    <w:p>
      <w:r>
        <w:t>Кейс 1 (высота тары) → кейс 2 (приоритизация ремонта). Между кейсами не нужно ждать дольше, чем занимает индексация — статус «Готово» у документа.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