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733"/>
          <w:sz w:val="40"/>
        </w:rPr>
        <w:t>ПРОТОКОЛ ВСТРЕЧИ</w:t>
      </w:r>
    </w:p>
    <w:p>
      <w:pPr>
        <w:spacing w:after="200"/>
      </w:pPr>
      <w:r>
        <w:rPr>
          <w:i/>
          <w:color w:val="5B6B7A"/>
          <w:sz w:val="24"/>
        </w:rPr>
        <w:t>Обсуждение этапов внедрения платформы «Камерата»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F4F6F7"/>
          </w:tcPr>
          <w:p>
            <w:r/>
            <w:r>
              <w:rPr>
                <w:b/>
                <w:color w:val="1A2733"/>
                <w:sz w:val="21"/>
              </w:rPr>
              <w:t>Дата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1"/>
              </w:rPr>
              <w:t>15 сентября 2026 г.</w:t>
            </w:r>
          </w:p>
        </w:tc>
      </w:tr>
      <w:tr>
        <w:tc>
          <w:tcPr>
            <w:tcW w:type="dxa" w:w="1984"/>
            <w:shd w:val="clear" w:color="auto" w:fill="F4F6F7"/>
          </w:tcPr>
          <w:p>
            <w:r/>
            <w:r>
              <w:rPr>
                <w:b/>
                <w:color w:val="1A2733"/>
                <w:sz w:val="21"/>
              </w:rPr>
              <w:t>Формат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1"/>
              </w:rPr>
              <w:t>онлайн-встреча</w:t>
            </w:r>
          </w:p>
        </w:tc>
      </w:tr>
      <w:tr>
        <w:tc>
          <w:tcPr>
            <w:tcW w:type="dxa" w:w="1984"/>
            <w:shd w:val="clear" w:color="auto" w:fill="F4F6F7"/>
          </w:tcPr>
          <w:p>
            <w:r/>
            <w:r>
              <w:rPr>
                <w:b/>
                <w:color w:val="1A2733"/>
                <w:sz w:val="21"/>
              </w:rPr>
              <w:t>Участники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21"/>
              </w:rPr>
              <w:t>Армен, Юрий, Андрей и Влад.</w:t>
            </w:r>
          </w:p>
        </w:tc>
      </w:tr>
    </w:tbl>
    <w:p/>
    <w:p>
      <w:pPr>
        <w:pStyle w:val="Heading2"/>
        <w:spacing w:before="240"/>
      </w:pPr>
      <w:r>
        <w:rPr>
          <w:color w:val="1A2733"/>
          <w:sz w:val="28"/>
        </w:rPr>
        <w:t>1. Цель встречи</w:t>
      </w:r>
    </w:p>
    <w:p>
      <w:r>
        <w:t>Согласовать подход к планированию внедрения: определить содержание первого этапа, зафиксировать вопросы для оценки, отделить понятные работы от требований, которые нуждаются в дополнительной проработке, и наметить подход ко второму этапу интеграций.</w:t>
      </w:r>
    </w:p>
    <w:p>
      <w:pPr>
        <w:pStyle w:val="Heading2"/>
        <w:spacing w:before="240"/>
      </w:pPr>
      <w:r>
        <w:rPr>
          <w:color w:val="1A2733"/>
          <w:sz w:val="28"/>
        </w:rPr>
        <w:t>2. Ключевые вопросы обсуждения</w:t>
      </w:r>
    </w:p>
    <w:p>
      <w:pPr>
        <w:pStyle w:val="ListBullet"/>
        <w:spacing w:after="160"/>
      </w:pPr>
      <w:r>
        <w:t>Самостоятельное создание коллекций пользователями. На старте допустимо создание коллекций через администратора. В перспективе рассматривается пользовательское создание коллекций, но нужны ограничения: выбор подходящего типа/шаблона коллекции и эмбеддера, а также границы делегирования прав доступа. Обсуждался вариант выбора пользователем назначения коллекции (например, текст или код), за которым скрыта преднастроенная конфигурация. Окончательное решение не принято.</w:t>
      </w:r>
    </w:p>
    <w:p>
      <w:pPr>
        <w:pStyle w:val="ListBullet"/>
        <w:spacing w:after="160"/>
      </w:pPr>
      <w:r>
        <w:t>Актуальность и дублирование документов. Отмечен риск, что один и тот же документ может находиться в общей и пользовательской коллекциях в разных версиях, из-за чего поиск вернёт устаревший вариант. Текущая схема с администраторским созданием коллекций проблему полностью не устраняет. В перспективе предложено рассматривать файлы как самостоятельные объекты, а не только как элементы отдельных коллекций.</w:t>
      </w:r>
    </w:p>
    <w:p>
      <w:pPr>
        <w:pStyle w:val="ListBullet"/>
        <w:spacing w:after="160"/>
      </w:pPr>
      <w:r>
        <w:t>Управление источниками и диагностика ответов. Нужна возможность понимать, из какой коллекции и какого файла были получены данные при обработке запроса. Также подтверждена потребность ограничивать поиск выбранной коллекцией/источником и отключать ненужные источники для диагностики некорректных ответов.</w:t>
      </w:r>
    </w:p>
    <w:p>
      <w:pPr>
        <w:pStyle w:val="ListBullet"/>
        <w:spacing w:after="160"/>
      </w:pPr>
      <w:r>
        <w:t>Мониторинг работоспособности. Заказчику нужен мониторинг состояния платформы на своей стороне и получение оповещений группой поддержки. Упоминались графики, метрики и алерты; конкретная техническая схема должна быть дополнительно проверена.</w:t>
      </w:r>
    </w:p>
    <w:p>
      <w:pPr>
        <w:pStyle w:val="ListBullet"/>
        <w:spacing w:after="160"/>
      </w:pPr>
      <w:r>
        <w:t>Функции Claude/skills через API. Обсуждалась возможность использовать через API функции/skills, уже заведённые в Claude, и приблизить функциональность платформы к прямому интерфейсу сервиса. Вопрос принят на исследование; если оценка покажет, что функция не укладывается в первый этап, её следует перенести в последующий.</w:t>
      </w:r>
    </w:p>
    <w:p>
      <w:pPr>
        <w:pStyle w:val="ListBullet"/>
        <w:spacing w:after="160"/>
      </w:pPr>
      <w:r>
        <w:t>Второй этап: источники данных и интеграции. Для следующего этапа предполагается подключение нескольких источников. Способ интеграции (в том числе через корпоративную шину или хранилище данных) зависит от конкретных пользовательских сценариев и доступных данных. Универсальная работа со всеми массивами признана нереалистичной; вероятен подход через подготовленные витрины и конфигурацию под конкретные кейсы.</w:t>
      </w:r>
    </w:p>
    <w:p>
      <w:pPr>
        <w:pStyle w:val="ListBullet"/>
        <w:spacing w:after="160"/>
      </w:pPr>
      <w:r>
        <w:t>Этапность и договорная конструкция. Проект предлагается планировать как минимум в два этапа. В договор включаются работы, которые уже можно оценить по срокам и стоимости. Неопределённые сценарии оформляются позднее — дополнительным соглашением или отдельной заявкой после уточнения требований.</w:t>
      </w:r>
    </w:p>
    <w:p>
      <w:pPr>
        <w:pStyle w:val="Heading2"/>
        <w:spacing w:before="240"/>
      </w:pPr>
      <w:r>
        <w:rPr>
          <w:color w:val="1A2733"/>
          <w:sz w:val="28"/>
        </w:rPr>
        <w:t>3. Принятые решения</w:t>
      </w:r>
    </w:p>
    <w:p>
      <w:pPr>
        <w:pStyle w:val="ListBullet"/>
        <w:spacing w:after="120"/>
      </w:pPr>
      <w:r>
        <w:t>Сосредоточить текущую оценку на функциональности, которая понятна и может быть реалистично спланирована.</w:t>
      </w:r>
    </w:p>
    <w:p>
      <w:pPr>
        <w:pStyle w:val="ListBullet"/>
        <w:spacing w:after="120"/>
      </w:pPr>
      <w:r>
        <w:t>Сгруппировать требования по приоритету: понятные и оценимые работы отнести к первому этапу; неопределённые — перенести на последующую проработку.</w:t>
      </w:r>
    </w:p>
    <w:p>
      <w:pPr>
        <w:pStyle w:val="ListBullet"/>
        <w:spacing w:after="120"/>
      </w:pPr>
      <w:r>
        <w:t>Не тратить время текущей недели на детальную спецификацию сценариев, по которым ещё нет исходных данных или согласованных кейсов.</w:t>
      </w:r>
    </w:p>
    <w:p>
      <w:pPr>
        <w:pStyle w:val="ListBullet"/>
        <w:spacing w:after="120"/>
      </w:pPr>
      <w:r>
        <w:t>К концу недели подготовить для заказчика план внедрения по согласованному объёму с оценкой сроков и стоимости.</w:t>
      </w:r>
    </w:p>
    <w:p>
      <w:pPr>
        <w:pStyle w:val="ListBullet"/>
        <w:spacing w:after="120"/>
      </w:pPr>
      <w:r>
        <w:t>Договор на внедрение предложить как рамочный: фиксировать понятный объём, а новые уточнённые работы добавлять отдельными документами.</w:t>
      </w:r>
    </w:p>
    <w:p>
      <w:pPr>
        <w:pStyle w:val="ListBullet"/>
        <w:spacing w:after="120"/>
      </w:pPr>
      <w:r>
        <w:t>Для второго этапа сначала собрать и актуализировать бизнес-кейсы, затем связать каждый кейс с необходимыми источниками данных и интеграциями.</w:t>
      </w:r>
    </w:p>
    <w:p>
      <w:pPr>
        <w:pStyle w:val="Heading2"/>
        <w:spacing w:before="240"/>
      </w:pPr>
      <w:r>
        <w:rPr>
          <w:color w:val="1A2733"/>
          <w:sz w:val="28"/>
        </w:rPr>
        <w:t>4. Поручения и следующие действия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val="clear" w:color="auto" w:fill="1A2733"/>
          </w:tcPr>
          <w:p>
            <w:r/>
            <w:r>
              <w:rPr>
                <w:b/>
                <w:color w:val="FFFFFF"/>
                <w:sz w:val="20"/>
              </w:rPr>
              <w:t>№</w:t>
            </w:r>
          </w:p>
        </w:tc>
        <w:tc>
          <w:tcPr>
            <w:tcW w:type="dxa" w:w="4535"/>
            <w:shd w:val="clear" w:color="auto" w:fill="1A2733"/>
          </w:tcPr>
          <w:p>
            <w:r/>
            <w:r>
              <w:rPr>
                <w:b/>
                <w:color w:val="FFFFFF"/>
                <w:sz w:val="20"/>
              </w:rPr>
              <w:t>Действие</w:t>
            </w:r>
          </w:p>
        </w:tc>
        <w:tc>
          <w:tcPr>
            <w:tcW w:type="dxa" w:w="1984"/>
            <w:shd w:val="clear" w:color="auto" w:fill="1A2733"/>
          </w:tcPr>
          <w:p>
            <w:r/>
            <w:r>
              <w:rPr>
                <w:b/>
                <w:color w:val="FFFFFF"/>
                <w:sz w:val="20"/>
              </w:rPr>
              <w:t>Ответственный</w:t>
            </w:r>
          </w:p>
        </w:tc>
        <w:tc>
          <w:tcPr>
            <w:tcW w:type="dxa" w:w="1417"/>
            <w:shd w:val="clear" w:color="auto" w:fill="1A2733"/>
          </w:tcPr>
          <w:p>
            <w:r/>
            <w:r>
              <w:rPr>
                <w:b/>
                <w:color w:val="FFFFFF"/>
                <w:sz w:val="20"/>
              </w:rPr>
              <w:t>Срок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color w:val="5B6B7A"/>
                <w:sz w:val="20"/>
              </w:rPr>
              <w:t>1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Проанализировать полученные ответы и список доработок; сформулировать вопросы, необходимые для оценки функциональности первого этапа.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color w:val="5B6B7A"/>
                <w:sz w:val="20"/>
              </w:rPr>
              <w:t>Влад и Андрей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color w:val="5B6B7A"/>
                <w:sz w:val="20"/>
              </w:rPr>
              <w:t>В течение текущей недели; вопросы — как можно раньше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color w:val="5B6B7A"/>
                <w:sz w:val="20"/>
              </w:rPr>
              <w:t>2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Подготовить реалистичный план первого этапа с оценкой сроков и стоимости для передачи заказчику.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color w:val="5B6B7A"/>
                <w:sz w:val="20"/>
              </w:rPr>
              <w:t>Проектная команда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color w:val="5B6B7A"/>
                <w:sz w:val="20"/>
              </w:rPr>
              <w:t>До конца недели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color w:val="5B6B7A"/>
                <w:sz w:val="20"/>
              </w:rPr>
              <w:t>3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Собрать и структурировать кейсы второго этапа; для каждого указать необходимые подключения, источники данных и интеграции.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color w:val="5B6B7A"/>
                <w:sz w:val="20"/>
              </w:rPr>
              <w:t>Юрий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color w:val="5B6B7A"/>
                <w:sz w:val="20"/>
              </w:rPr>
              <w:t>Срок не зафиксирован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color w:val="5B6B7A"/>
                <w:sz w:val="20"/>
              </w:rPr>
              <w:t>4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Проверить техническую возможность вывода мониторинга платформы и алертов в контур/системы поддержки заказчика.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color w:val="5B6B7A"/>
                <w:sz w:val="20"/>
              </w:rPr>
              <w:t>Ответственный не определён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color w:val="5B6B7A"/>
                <w:sz w:val="20"/>
              </w:rPr>
              <w:t>Срок не зафиксирован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color w:val="5B6B7A"/>
                <w:sz w:val="20"/>
              </w:rPr>
              <w:t>5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Исследовать доступность функций/skills Claude при работе через API и оценить трудоёмкость включения в первый этап.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color w:val="5B6B7A"/>
                <w:sz w:val="20"/>
              </w:rPr>
              <w:t>Ответственный не определён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color w:val="5B6B7A"/>
                <w:sz w:val="20"/>
              </w:rPr>
              <w:t>До финализации состава первого этапа</w:t>
            </w:r>
          </w:p>
        </w:tc>
      </w:tr>
      <w:tr>
        <w:tc>
          <w:tcPr>
            <w:tcW w:type="dxa" w:w="567"/>
          </w:tcPr>
          <w:p>
            <w:r/>
            <w:r>
              <w:rPr>
                <w:b w:val="0"/>
                <w:color w:val="5B6B7A"/>
                <w:sz w:val="20"/>
              </w:rPr>
              <w:t>6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20"/>
              </w:rPr>
              <w:t>Дополнительно проработать правила пользовательского создания коллекций: тип/шаблон, эмбеддер, пределы выдачи прав и обработку дубликатов/версий документов.</w:t>
            </w:r>
          </w:p>
        </w:tc>
        <w:tc>
          <w:tcPr>
            <w:tcW w:type="dxa" w:w="1984"/>
          </w:tcPr>
          <w:p>
            <w:r/>
            <w:r>
              <w:rPr>
                <w:b w:val="0"/>
                <w:color w:val="5B6B7A"/>
                <w:sz w:val="20"/>
              </w:rPr>
              <w:t>Совместно: заказчик и команда платформы</w:t>
            </w:r>
          </w:p>
        </w:tc>
        <w:tc>
          <w:tcPr>
            <w:tcW w:type="dxa" w:w="1417"/>
          </w:tcPr>
          <w:p>
            <w:r/>
            <w:r>
              <w:rPr>
                <w:b w:val="0"/>
                <w:color w:val="5B6B7A"/>
                <w:sz w:val="20"/>
              </w:rPr>
              <w:t>Последующий раунд уточнения требований</w:t>
            </w:r>
          </w:p>
        </w:tc>
      </w:tr>
    </w:tbl>
    <w:p/>
    <w:p>
      <w:pPr>
        <w:pStyle w:val="Heading2"/>
        <w:spacing w:before="240"/>
      </w:pPr>
      <w:r>
        <w:rPr>
          <w:color w:val="1A2733"/>
          <w:sz w:val="28"/>
        </w:rPr>
        <w:t>5. Открытые вопросы</w:t>
      </w:r>
    </w:p>
    <w:p>
      <w:pPr>
        <w:pStyle w:val="ListNumber"/>
        <w:spacing w:after="80"/>
      </w:pPr>
      <w:r>
        <w:t>Какие именно права может делегировать создатель пользовательской коллекции и в пределах какой организационной области?</w:t>
      </w:r>
    </w:p>
    <w:p>
      <w:pPr>
        <w:pStyle w:val="ListNumber"/>
        <w:spacing w:after="80"/>
      </w:pPr>
      <w:r>
        <w:t>Как предотвращать выдачу устаревших версий одного документа из разных коллекций?</w:t>
      </w:r>
    </w:p>
    <w:p>
      <w:pPr>
        <w:pStyle w:val="ListNumber"/>
        <w:spacing w:after="80"/>
      </w:pPr>
      <w:r>
        <w:t>Какой набор источников пользователь сможет включать и отключать в запросе?</w:t>
      </w:r>
    </w:p>
    <w:p>
      <w:pPr>
        <w:pStyle w:val="ListNumber"/>
        <w:spacing w:after="80"/>
      </w:pPr>
      <w:r>
        <w:t>Какие показатели, журналы и алерты должны передаваться в систему мониторинга заказчика?</w:t>
      </w:r>
    </w:p>
    <w:p>
      <w:pPr>
        <w:pStyle w:val="ListNumber"/>
        <w:spacing w:after="80"/>
      </w:pPr>
      <w:r>
        <w:t>Какие функции Claude через API обязательны для первого этапа, а какие допустимо перенести?</w:t>
      </w:r>
    </w:p>
    <w:p>
      <w:pPr>
        <w:pStyle w:val="ListNumber"/>
        <w:spacing w:after="80"/>
      </w:pPr>
      <w:r>
        <w:t>Какие конкретные бизнес-кейсы и наборы данных входят во второй этап?</w:t>
      </w:r>
    </w:p>
    <w:p>
      <w:pPr>
        <w:pStyle w:val="ListNumber"/>
        <w:spacing w:after="80"/>
      </w:pPr>
      <w:r>
        <w:t>Какие системы должны подключаться напрямую, через корпоративную шину или через подготовленные витрины в хранилище данных?</w:t>
      </w:r>
    </w:p>
    <w:p>
      <w:pPr>
        <w:pStyle w:val="Heading2"/>
        <w:spacing w:before="240"/>
      </w:pPr>
      <w:r>
        <w:rPr>
          <w:color w:val="1A2733"/>
          <w:sz w:val="28"/>
        </w:rPr>
        <w:t>6. Контрольные сроки</w:t>
      </w:r>
    </w:p>
    <w:p>
      <w:pPr>
        <w:pStyle w:val="ListBullet"/>
        <w:spacing w:after="120"/>
      </w:pPr>
      <w:r>
        <w:t>Вопросы для оценки первого этапа — сформировать без подготовки полной технической спецификации.</w:t>
      </w:r>
    </w:p>
    <w:p>
      <w:pPr>
        <w:pStyle w:val="ListBullet"/>
        <w:spacing w:after="120"/>
      </w:pPr>
      <w:r>
        <w:t>Контрольная дата плана, прозвучавшая на встрече, — четверг.</w:t>
      </w:r>
    </w:p>
    <w:p>
      <w:pPr>
        <w:pStyle w:val="ListBullet"/>
        <w:spacing w:after="120"/>
      </w:pPr>
      <w:r>
        <w:t>План внедрения по понятному объёму со сроками и стоимостью — до конца текущей недели.</w:t>
      </w:r>
    </w:p>
    <w:p>
      <w:pPr>
        <w:pStyle w:val="ListBullet"/>
        <w:spacing w:after="120"/>
      </w:pPr>
      <w:r>
        <w:t>Общий ориентир завершения двух этапов до конца года обсуждался как желаемый, но признан зависимым от готовности данных и уточнения кейсов; договорным сроком на встрече не закреплён.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