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4181F"/>
          <w:sz w:val="32"/>
          <w:szCs w:val="32"/>
        </w:rPr>
        <w:t xml:space="preserve">Пример маскирования: отчёт брокера</w:t>
      </w:r>
    </w:p>
    <w:p>
      <w:pPr>
        <w:spacing w:after="2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АО «Инвестиционная компания Д8» — практический пример на самом распространённом документе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Отчёт брокера — документ, который чаще всего встречается в работе с клиентами. Ниже показано, как он выглядит до обработки, какой вариант маскирования мы рассмотрели и отклонили, и какая схема используется в итоге.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1. Исходный документ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Так выглядит отчёт брокера без какой-либо обработки.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Поле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Ожигихин Юрий Юрьевич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Договор №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ВР33431 от 24.09.2019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Брокерский счёт / лицевой счёт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ВР33431 / ВР33431-МО-01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Баланс счёта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16 634,88 → 16 623,07 ₽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Портфель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ОФЗ-ПД225 (RU000A0ZYUB7) — 1 шт; ВТБ ПАО ао07 (RU000A0JP5V6) — 13 шт; Сбербанк ПАО ао03 (RU0009029540) — 6 шт; паи БПИФ — 1 шт; USD — 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Подписи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Корчагин В.В., Губарева С.А.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Брокер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АО «Инвестиционная компания Д8», лицензия № 045-0751…, г. Москва, Пресненский р-н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2. Вариант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Исходные данные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отчёт брокера — см. раздел 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Маскируем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ФИО клиента, название компании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Вывод: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Не защищает данные. Номер договора и точный состав портфеля сами по себе позволяют определить, о каком клиенте идёт речь, даже без имени: сочетание конкретных бумаг, их количества и остатка на конкретную дату — редкое и легко узнаваемое. Номер лицензии брокера, если он остаётся открытым, также позволяет установить компанию — он находится в открытом реестре Банка России — независимо от того, скрыто название компании в тексте или нет.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3. Вариант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Исходные данные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тот же отчёт брокера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Маскируем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ФИО клиента и сотрудников, номер договора/счетов, название/лицензию/адрес брокера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Что происходит с каждым полем: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Поле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Клиент (ФИО)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Скрывается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Подписи сотрудников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Скрывается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Номер договора, брокерский и лицевой счёт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Скрывается — заменяется меткой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Название, лицензия и адрес брокера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Скрывается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Баланс счёта и состав портфеля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 скрывается — нужен для анализа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Код ценной бумаги (ISIN)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 скрывается — общедоступный биржевой код, к клиенту или компании не привязан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Как определяется каждое поле: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Поле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Как определяется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ФИО клиента и сотрудников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 ключевым словам рядом с именем («Клиент:», подпись в конце документа) и по общему контексту фразы — так же, как в тексте распознаётся любое упоминание имени человека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Номер договора, брокерский и лицевой счёт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 формату записи — сочетанию букв и цифр, характерному для номеров счетов и договоров Общества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Название компании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Отдельно от других названий в документе (например, от названий ценных бумаг) — по справочнику собственного юридического лица заказчика, а не по общему правилу «любая организация»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Номер лицензии и адрес брокера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 формату записи, тем же способом, что и номер договора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Вывод: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Защищено 7 из 8 полей, аналитическая ценность сохранена — баланс и состав портфеля остаются в исходном виде для анализа.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4. Как это применяется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Баланс счёта и состав портфеля намеренно не скрываются — эти данные нужны для анализа в исходном виде. Поэтому решение — не в том, что скрывать в самом документе, а в том, куда документ может уходить.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181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Внутренняя система (данные не покидают периметр)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Документ используется полностью, без ограничений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Внешние ИИ-сервисы (например, OpenAI, Anthropic)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Используется только после маскирования по схеме выше; если документ одновременно содержит номер счёта и таблицу портфеля — не передаётся вообще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5. Что остаётся риском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Полностью исключить риск маскированием одних только текстовых полей невозможно. Точный состав портфеля на конкретную дату — сам по себе редкое, узнаваемое сочетание данных: при пересечении с другой утечкой (не обязательно из этой системы) документ теоретически можно сопоставить с конкретным клиентом даже без прямых идентификаторов. По этой причине для документов с портфелем и счетами по умолчанию рекомендуется внутренний канал, а не внешний.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4181F"/>
          <w:sz w:val="25"/>
          <w:szCs w:val="25"/>
        </w:rPr>
        <w:t xml:space="preserve">6. Дальнейшие шаги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Согласовать, в каких случаях документ передаётся во внешний сервис, а в каких — используется только внутри.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Согласовать с разработчиком платформы техническую реализацию новых типов данных — номер договора, номер лицензии.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Проверить результат на реальном документе в рамках пилота.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2026-08-16T09:11:35.325Z</dcterms:created>
  <dcterms:modified xsi:type="dcterms:W3CDTF">2026-08-16T09:11:35.325Z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