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будет исправлено.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разработку.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сейчас не вписать. Будем брать в разработку.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По документации — нет, конфиг рассчитан на один AD-домен.</w:t>
            </w:r>
          </w:p>
        </w:tc>
      </w:tr>
    </w:tbl>
    <w:p>
      <w:pPr>
        <w:pStyle w:val="Heading1"/>
        <w:spacing w:after="140" w:before="38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Взято в разработку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300"/>
        <w:gridCol w:w="2100"/>
      </w:tblGrid>
      <w:tr>
        <w:trPr>
          <w:tblHeader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Пункт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Срок выполнения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Редирект на app.local:8080 после бездействия в чате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Будет исправлено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Модель по умолчанию слетает на первую в списке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базовых маскируемых элементов (встроенных типов PII)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разработку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Кастомный префикс токена — [AGREEMENT_N] вместо [CUSTOM_N]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разработку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2026-08-19T09:34:57.902Z</dcterms:created>
  <dcterms:modified xsi:type="dcterms:W3CDTF">2026-08-19T09:34:57.903Z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