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rFonts w:ascii="Arial" w:cs="Arial" w:eastAsia="Arial" w:hAnsi="Arial"/>
          <w:b/>
          <w:bCs/>
          <w:color w:val="14181F"/>
          <w:sz w:val="32"/>
          <w:szCs w:val="32"/>
        </w:rPr>
        <w:t xml:space="preserve">Пример маскирования: отчёт брокера</w:t>
      </w:r>
    </w:p>
    <w:p>
      <w:pPr>
        <w:spacing w:after="260"/>
      </w:pPr>
      <w:r>
        <w:rPr>
          <w:rFonts w:ascii="Arial" w:cs="Arial" w:eastAsia="Arial" w:hAnsi="Arial"/>
          <w:color w:val="555555"/>
          <w:sz w:val="20"/>
          <w:szCs w:val="20"/>
        </w:rPr>
        <w:t xml:space="preserve">АО «Инвестиционная компания Д8» — практический пример на самом распространённом документе</w:t>
      </w:r>
    </w:p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Отчёт брокера — документ, который чаще всего встречается в работе с клиентами. Ниже показано, как он выглядит до обработки, какой вариант маскирования мы рассмотрели и отклонили, и какая схема используется в итоге.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4181F"/>
          <w:sz w:val="25"/>
          <w:szCs w:val="25"/>
        </w:rPr>
        <w:t xml:space="preserve">1. Исходный документ</w:t>
      </w:r>
    </w:p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Так выглядит отчёт брокера без какой-либо обработки.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4181F"/>
                <w:sz w:val="19"/>
                <w:szCs w:val="19"/>
              </w:rPr>
              <w:t xml:space="preserve">Поле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4181F"/>
                <w:sz w:val="19"/>
                <w:szCs w:val="19"/>
              </w:rPr>
              <w:t xml:space="preserve">Значение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Клиент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Ожигихин Юрий Юрьевич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Договор №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ВР33431 от 24.09.2019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Брокерский счёт / лицевой счёт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ВР33431 / ВР33431-МО-01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Баланс счёта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16 634,88 → 16 623,07 ₽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Портфель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ОФЗ-ПД225 (RU000A0ZYUB7) — 1 шт; ВТБ ПАО ао07 (RU000A0JP5V6) — 13 шт; Сбербанк ПАО ао03 (RU0009029540) — 6 шт; паи БПИФ — 1 шт; USD — 4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Подписи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Корчагин В.В., Губарева С.А.</w:t>
            </w:r>
          </w:p>
        </w:tc>
      </w:tr>
      <w:tr>
        <w:tc>
          <w:tcPr>
            <w:tcW w:type="dxa" w:w="3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Брокер</w:t>
            </w:r>
          </w:p>
        </w:tc>
        <w:tc>
          <w:tcPr>
            <w:tcW w:type="dxa" w:w="60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АО «Инвестиционная компания Д8», лицензия № 045-0751…, г. Москва, Пресненский р-н</w:t>
            </w:r>
          </w:p>
        </w:tc>
      </w:tr>
    </w:tbl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4181F"/>
          <w:sz w:val="25"/>
          <w:szCs w:val="25"/>
        </w:rPr>
        <w:t xml:space="preserve">2. Первый вариант — не подошёл</w:t>
      </w:r>
    </w:p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Первый рассмотренный вариант — скрывать только ФИО клиента и название компании, остальные данные оставлять без изменений. При проверке выяснилось, что этого недостаточно.</w:t>
      </w:r>
    </w:p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Номер договора и точный состав портфеля сами по себе позволяют определить, о каком клиенте идёт речь, даже без имени: сочетание конкретных бумаг, их количества и остатка на конкретную дату — редкое и легко узнаваемое. Номер лицензии брокера, если он остаётся открытым, также позволяет установить компанию — он находится в открытом реестре Банка России — независимо от того, скрыто название компании в тексте или нет.</w:t>
      </w:r>
    </w:p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Поэтому список того, что нужно скрывать, был расширен.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4181F"/>
          <w:sz w:val="25"/>
          <w:szCs w:val="25"/>
        </w:rPr>
        <w:t xml:space="preserve">3. Рабочая схема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4181F"/>
                <w:sz w:val="19"/>
                <w:szCs w:val="19"/>
              </w:rPr>
              <w:t xml:space="preserve">Поле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4181F"/>
                <w:sz w:val="19"/>
                <w:szCs w:val="19"/>
              </w:rPr>
              <w:t xml:space="preserve">Что происходит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Клиент (ФИО)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Скрывается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Подписи сотрудников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Скрывается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Номер договора, брокерский и лицевой счёт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Скрывается — заменяется меткой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Название, лицензия и адрес брокера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Скрывается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Баланс счёта и состав портфеля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Не скрывается — нужен для анализа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Код ценной бумаги (ISIN)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Не скрывается — общедоступный биржевой код, к клиенту или компании не привязан</w:t>
            </w:r>
          </w:p>
        </w:tc>
      </w:tr>
    </w:tbl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4181F"/>
          <w:sz w:val="25"/>
          <w:szCs w:val="25"/>
        </w:rPr>
        <w:t xml:space="preserve">4. Как это применяется</w:t>
      </w:r>
    </w:p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Баланс счёта и состав портфеля намеренно не скрываются — эти данные нужны для анализа в исходном виде. Поэтому решение — не в том, что скрывать в самом документе, а в том, куда документ может уходить.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4800"/>
      </w:tblGrid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4181F"/>
                <w:sz w:val="19"/>
                <w:szCs w:val="19"/>
              </w:rPr>
              <w:t xml:space="preserve">Канал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70"/>
              <w:left w:type="dxa" w:w="100"/>
              <w:bottom w:type="dxa" w:w="7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4181F"/>
                <w:sz w:val="19"/>
                <w:szCs w:val="19"/>
              </w:rPr>
              <w:t xml:space="preserve">Что происходит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Внутренняя система (данные не покидают периметр)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Документ используется полностью, без ограничений</w:t>
            </w:r>
          </w:p>
        </w:tc>
      </w:tr>
      <w:tr>
        <w:tc>
          <w:tcPr>
            <w:tcW w:type="dxa" w:w="42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9"/>
                <w:szCs w:val="19"/>
              </w:rPr>
              <w:t xml:space="preserve">Внешние ИИ-сервисы (например, OpenAI, Anthropic)</w:t>
            </w:r>
          </w:p>
        </w:tc>
        <w:tc>
          <w:tcPr>
            <w:tcW w:type="dxa" w:w="4800"/>
            <w:tcBorders>
              <w:top w:val="single" w:color="999999" w:sz="4"/>
              <w:left w:val="single" w:color="999999" w:sz="4"/>
              <w:bottom w:val="single" w:color="999999" w:sz="4"/>
              <w:right w:val="single" w:color="999999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Используется только после маскирования по схеме выше; если документ одновременно содержит номер счёта и таблицу портфеля — не передаётся вообще</w:t>
            </w:r>
          </w:p>
        </w:tc>
      </w:tr>
    </w:tbl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4181F"/>
          <w:sz w:val="25"/>
          <w:szCs w:val="25"/>
        </w:rPr>
        <w:t xml:space="preserve">5. Что остаётся риском</w:t>
      </w:r>
    </w:p>
    <w:p>
      <w:pPr>
        <w:spacing w:after="140" w:line="30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Полностью исключить риск маскированием одних только текстовых полей невозможно. Точный состав портфеля на конкретную дату — сам по себе редкое, узнаваемое сочетание данных: при пересечении с другой утечкой (не обязательно из этой системы) документ теоретически можно сопоставить с конкретным клиентом даже без прямых идентификаторов. По этой причине для документов с портфелем и счетами по умолчанию рекомендуется внутренний канал, а не внешний.</w:t>
      </w:r>
    </w:p>
    <w:p>
      <w:pPr>
        <w:pStyle w:val="Heading1"/>
        <w:spacing w:after="120" w:before="300"/>
      </w:pPr>
      <w:r>
        <w:rPr>
          <w:rFonts w:ascii="Arial" w:cs="Arial" w:eastAsia="Arial" w:hAnsi="Arial"/>
          <w:b/>
          <w:bCs/>
          <w:color w:val="14181F"/>
          <w:sz w:val="25"/>
          <w:szCs w:val="25"/>
        </w:rPr>
        <w:t xml:space="preserve">6. Дальнейшие шаги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Согласовать, в каких случаях документ передаётся во внешний сервис, а в каких — используется только внутри.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Согласовать с разработчиком платформы техническую реализацию новых типов данных — номер договора, номер лицензии.</w:t>
      </w:r>
    </w:p>
    <w:p>
      <w:pPr>
        <w:pStyle w:val="ListParagraph"/>
        <w:numPr>
          <w:ilvl w:val="0"/>
          <w:numId w:val="2"/>
        </w:numPr>
        <w:spacing w:after="90" w:line="280"/>
      </w:pPr>
      <w:r>
        <w:rPr>
          <w:rFonts w:ascii="Arial" w:cs="Arial" w:eastAsia="Arial" w:hAnsi="Arial"/>
          <w:color w:val="1A1A1A"/>
          <w:sz w:val="21"/>
          <w:szCs w:val="21"/>
        </w:rPr>
        <w:t xml:space="preserve">Проверить результат на реальном документе в рамках пилота.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2026-08-16T08:48:55.702Z</dcterms:created>
  <dcterms:modified xsi:type="dcterms:W3CDTF">2026-08-16T08:48:55.712Z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