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ПРОГРАММА ЛОЯЛЬНОСТИ «ТоргЛайн Плюс»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40"/>
      </w:pPr>
      <w:r>
        <w:t xml:space="preserve">1. Уровни карты и ставки начисления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965"/>
        <w:gridCol w:w="2224"/>
        <w:gridCol w:w="2965"/>
      </w:tblGrid>
      <w:tr>
        <w:trPr>
          <w:tblHeader/>
        </w:trPr>
        <w:tc>
          <w:tcPr>
            <w:tcW w:type="dxa" w:w="148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296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Условие получения</w:t>
            </w:r>
          </w:p>
        </w:tc>
        <w:tc>
          <w:tcPr>
            <w:tcW w:type="dxa" w:w="222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Начисление баллов</w:t>
            </w:r>
          </w:p>
        </w:tc>
        <w:tc>
          <w:tcPr>
            <w:tcW w:type="dxa" w:w="296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Доп. привилегии</w:t>
            </w:r>
          </w:p>
        </w:tc>
      </w:tr>
      <w:tr>
        <w:tc>
          <w:tcPr>
            <w:tcW w:type="dxa" w:w="14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Стандарт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Оформление карты</w:t>
            </w:r>
          </w:p>
        </w:tc>
        <w:tc>
          <w:tcPr>
            <w:tcW w:type="dxa" w:w="22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1% от суммы покупки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4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Серебро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 15 000 руб. накопленных покупок за 12 мес.</w:t>
            </w:r>
          </w:p>
        </w:tc>
        <w:tc>
          <w:tcPr>
            <w:tcW w:type="dxa" w:w="22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3% от суммы покупки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Персональные предложения</w:t>
            </w:r>
          </w:p>
        </w:tc>
      </w:tr>
      <w:tr>
        <w:tc>
          <w:tcPr>
            <w:tcW w:type="dxa" w:w="14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Золото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 50 000 руб. накопленных покупок за 12 мес.</w:t>
            </w:r>
          </w:p>
        </w:tc>
        <w:tc>
          <w:tcPr>
            <w:tcW w:type="dxa" w:w="22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5% от суммы покупки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Доп. акции, приоритетная поддержка</w:t>
            </w:r>
          </w:p>
        </w:tc>
      </w:tr>
    </w:tbl>
    <w:p>
      <w:pPr>
        <w:pStyle w:val="Heading2"/>
        <w:spacing w:after="120" w:before="240"/>
      </w:pPr>
      <w:r>
        <w:t xml:space="preserve">2. Начисление и списание баллов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Баллы начисляются в течение 48 часов с момента покупки.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балл = 1 рубль при оплате следующей покупки; списать можно не более 50% от суммы чека.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Срок действия начисленных баллов — 12 месяцев с даты начисления, после чего они сгорают.</w:t>
      </w:r>
    </w:p>
    <w:p>
      <w:pPr>
        <w:pStyle w:val="Heading2"/>
        <w:spacing w:after="120" w:before="240"/>
      </w:pPr>
      <w:r>
        <w:t xml:space="preserve">3. Баллы при возврате товара</w:t>
      </w:r>
    </w:p>
    <w:p>
      <w:pPr>
        <w:spacing w:after="120"/>
        <w:jc w:val="both"/>
      </w:pPr>
      <w:r>
        <w:t xml:space="preserve">При возврате товара, за который были начислены баллы, соответствующее количество баллов списывается пропорционально возвращённой сумме. Если баллы за эту покупку уже были частично или полностью потрачены, списание производится с текущего баланса, при недостатке баланса — фиксируется как задолженность по бонусному счёту без начисления штрафов.</w:t>
      </w:r>
    </w:p>
    <w:p>
      <w:pPr>
        <w:pStyle w:val="Heading2"/>
        <w:spacing w:after="120" w:before="240"/>
      </w:pPr>
      <w:r>
        <w:t xml:space="preserve">4. Повышение уровня и период пересчёта</w:t>
      </w:r>
    </w:p>
    <w:p>
      <w:pPr>
        <w:spacing w:after="120"/>
        <w:jc w:val="both"/>
      </w:pPr>
      <w:r>
        <w:t xml:space="preserve">Уровень карты пересчитывается ежемесячно на основании суммы покупок за предыдущие 12 месяцев. Понижение уровня происходит не чаще одного раза в квартал.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2026-07-24T15:45:57.765Z</dcterms:created>
  <dcterms:modified xsi:type="dcterms:W3CDTF">2026-07-24T15:45:57.765Z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