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РЕГЛАМЕНТ КАССОВЫХ ОПЕРАЦИЙ</w:t>
      </w:r>
    </w:p>
    <w:p>
      <w:pPr>
        <w:spacing w:after="120"/>
      </w:pPr>
      <w:r>
        <w:t xml:space="preserve">Версия 3.2 · Действует для всех магазинов сети «ТоргЛайн»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Открытие смены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Кассир получает разменный фонд в размере 3 000 руб. под роспись в кассовой книге у администратора смены.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Проверяется исправность кассового аппарата и сканера штрихкодов.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Кассир входит в систему под своим индивидуальным логином — использование чужого логина запрещено.</w:t>
      </w:r>
    </w:p>
    <w:p>
      <w:pPr>
        <w:pStyle w:val="Heading2"/>
        <w:spacing w:after="120" w:before="240"/>
      </w:pPr>
      <w:r>
        <w:t xml:space="preserve">2. Оформление продажи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Товар сканируется по штрихкоду; при отсутствии штрихкода — ввод артикула вручную с подтверждением цены по этикетке.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оплате картой лояльности — списание/начисление баллов происходит автоматически при считывании карты до оплаты.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Чек выдаётся покупателю обязательно, включая случаи оплаты через мобильное приложение.</w:t>
      </w:r>
    </w:p>
    <w:p>
      <w:pPr>
        <w:pStyle w:val="Heading2"/>
        <w:spacing w:after="120" w:before="240"/>
      </w:pPr>
      <w:r>
        <w:t xml:space="preserve">3. Оформление возврата</w:t>
      </w:r>
    </w:p>
    <w:p>
      <w:pPr>
        <w:spacing w:after="120"/>
        <w:jc w:val="both"/>
      </w:pPr>
      <w:r>
        <w:t xml:space="preserve">3.1. Возврат при наличии кассового чека оформляется по данным чека в течение 14 календарных дней с момента покупки — см. «Политику возврата и обмена товара».</w:t>
      </w:r>
    </w:p>
    <w:p>
      <w:pPr>
        <w:spacing w:after="120"/>
        <w:jc w:val="both"/>
      </w:pPr>
      <w:r>
        <w:t xml:space="preserve">3.2. Возврат без чека допускается при сумме до 5 000 руб. и предъявлении документа, удостоверяющего личность, с оформлением заявления покупателя по установленной форме. Возврат свыше 5 000 руб. без чека требует согласования с директором магазина.</w:t>
      </w:r>
    </w:p>
    <w:p>
      <w:pPr>
        <w:spacing w:after="120"/>
        <w:jc w:val="both"/>
      </w:pPr>
      <w:r>
        <w:t xml:space="preserve">3.3. Возврат товара с повреждённой заводской упаковкой без чека — регулируется отдельным «Регламентом нестандартных возвратов».</w:t>
      </w:r>
    </w:p>
    <w:p>
      <w:pPr>
        <w:pStyle w:val="Heading2"/>
        <w:spacing w:after="120" w:before="240"/>
      </w:pPr>
      <w:r>
        <w:t xml:space="preserve">4. Действия при срабатывании защитной бирки на выходе</w:t>
      </w:r>
    </w:p>
    <w:p>
      <w:pPr>
        <w:spacing w:after="120"/>
        <w:jc w:val="both"/>
      </w:pPr>
      <w:r>
        <w:t xml:space="preserve">При срабатывании антикражных ворот кассир или сотрудник торгового зала вежливо приглашает покупателя к стойке информации, проверяет чек и наличие снятых защитных элементов на всех единицах товара. Подробный порядок — см. «Инструкцию по технике безопасности».</w:t>
      </w:r>
    </w:p>
    <w:p>
      <w:pPr>
        <w:pStyle w:val="Heading2"/>
        <w:spacing w:after="120" w:before="240"/>
      </w:pPr>
      <w:r>
        <w:t xml:space="preserve">5. Закрытие смены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Снятие Z-отчёта в присутствии администратора смены.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Сверка фактической выручки с данными кассовой системы; расхождение свыше 500 руб. фиксируется актом.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Инкассация выручки производится инкассаторской службой по графику, установленному для каждого магазина.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2026-07-24T15:45:04.276Z</dcterms:created>
  <dcterms:modified xsi:type="dcterms:W3CDTF">2026-07-24T15:45:04.276Z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