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РЕГЛАМЕНТ НЕСТАНДАРТНЫХ ВОЗВРАТОВ</w:t>
      </w:r>
    </w:p>
    <w:p>
      <w:pPr>
        <w:spacing w:after="120"/>
      </w:pPr>
      <w:r>
        <w:t xml:space="preserve">Внутренний документ. Раздел 4: приём возврата при повреждении заводской упаковки без кассового чека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Условия применения</w:t>
      </w:r>
    </w:p>
    <w:p>
      <w:pPr>
        <w:spacing w:after="120"/>
        <w:jc w:val="both"/>
      </w:pPr>
      <w:r>
        <w:t xml:space="preserve">Настоящий раздел применяется, если покупатель обращается с требованием вернуть товар, заводская упаковка которого повреждена не по вине покупателя (заводской брак, повреждение при транспортировке или хранении в магазине), и при этом кассовый чек отсутствует или утерян.</w:t>
      </w:r>
    </w:p>
    <w:p>
      <w:pPr>
        <w:pStyle w:val="Heading2"/>
        <w:spacing w:after="120" w:before="240"/>
      </w:pPr>
      <w:r>
        <w:t xml:space="preserve">2. Порядок оформления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2.1. Сотрудник проверяет наличие товара в ассортиментной матрице магазина и визуально подтверждает характер повреждения упаковки как производственный/логистический, а не как результат использования покупателем.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2.2. Факт покупки подтверждается одним из способов: данные карты лояльности покупателя (история покупок в системе), либо выписка по банковской карте/СБП с датой и суммой операции.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2.3. Возврат оформляется внутренним актом по форме № В-7 с указанием причины отсутствия чека и способа подтверждения покупки.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2.4. Возврат на сумму до 3 000 руб. включительно оформляется сотрудником торгового зала самостоятельно, без дополнительного согласования.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2.5. Возврат на сумму свыше 3 000 руб. требует согласования с директором магазина, которое фиксируется его подписью на акте формы № В-7.</w:t>
      </w:r>
    </w:p>
    <w:p>
      <w:pPr>
        <w:pStyle w:val="Heading2"/>
        <w:spacing w:after="120" w:before="240"/>
      </w:pPr>
      <w:r>
        <w:t xml:space="preserve">3. Ограничения</w:t>
      </w:r>
    </w:p>
    <w:p>
      <w:pPr>
        <w:spacing w:after="120"/>
        <w:jc w:val="both"/>
      </w:pPr>
      <w:r>
        <w:t xml:space="preserve">Данный порядок не применяется к товарам категории «Fresh» (скоропортящиеся продукты) и к товарам с истёкшим сроком годности — такие случаи оформляются по общей «Политике возврата и обмена товара» либо по регламенту работы с браком поставщика.</w:t>
      </w:r>
    </w:p>
    <w:p>
      <w:pPr>
        <w:pStyle w:val="Heading2"/>
        <w:spacing w:after="120" w:before="240"/>
      </w:pPr>
      <w:r>
        <w:t xml:space="preserve">4. Компенсация покупателю</w:t>
      </w:r>
    </w:p>
    <w:p>
      <w:pPr>
        <w:spacing w:after="120"/>
        <w:jc w:val="both"/>
      </w:pPr>
      <w:r>
        <w:t xml:space="preserve">Компенсация производится в форме возврата денежных средств на карту лояльности (баллами по эквиваленту суммы) либо наличными из кассы при сумме до 3 000 руб. При возврате свыше 3 000 руб. — только безналичным переводом на основании заявления покупателя, в течение 10 рабочих дней.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2026-07-24T15:46:17.620Z</dcterms:created>
  <dcterms:modified xsi:type="dcterms:W3CDTF">2026-07-24T15:46:17.620Z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