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ПОЛИТИКА ВОЗВРАТА И ОБМЕНА ТОВАРА</w:t>
      </w:r>
    </w:p>
    <w:p>
      <w:pPr>
        <w:spacing w:after="120"/>
      </w:pPr>
      <w:r>
        <w:t xml:space="preserve">Публичный документ для покупателей сети «ТоргЛайн»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240"/>
      </w:pPr>
      <w:r>
        <w:t xml:space="preserve">1. Общий срок возврата</w:t>
      </w:r>
    </w:p>
    <w:p>
      <w:pPr>
        <w:spacing w:after="120"/>
        <w:jc w:val="both"/>
      </w:pPr>
      <w:r>
        <w:t xml:space="preserve">Возврат или обмен непродовольственного товара надлежащего качества возможен в течение 14 календарных дней с момента покупки при сохранении товарного вида и потребительских свойств.</w:t>
      </w:r>
    </w:p>
    <w:p>
      <w:pPr>
        <w:pStyle w:val="Heading2"/>
        <w:spacing w:after="120" w:before="240"/>
      </w:pPr>
      <w:r>
        <w:t xml:space="preserve">2. Подтверждение покупки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Кассовый или товарный чек — основной способ подтверждения.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отсутствии чека — подтверждение по данным карты лояльности или выписке по банковской карте/СБП.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Для случаев повреждённой заводской упаковки без чека — действует отдельный внутренний «Регламент нестандартных возвратов».</w:t>
      </w:r>
    </w:p>
    <w:p>
      <w:pPr>
        <w:pStyle w:val="Heading2"/>
        <w:spacing w:after="120" w:before="240"/>
      </w:pPr>
      <w:r>
        <w:t xml:space="preserve">3. Возврат товара ненадлежащего качества</w:t>
      </w:r>
    </w:p>
    <w:p>
      <w:pPr>
        <w:spacing w:after="120"/>
        <w:jc w:val="both"/>
      </w:pPr>
      <w:r>
        <w:t xml:space="preserve">Возврат возможен в течение гарантийного срока, установленного производителем, либо в течение 2 лет при отсутствии гарантийного срока — в соответствии с законодательством о защите прав потребителей.</w:t>
      </w:r>
    </w:p>
    <w:p>
      <w:pPr>
        <w:pStyle w:val="Heading2"/>
        <w:spacing w:after="120" w:before="240"/>
      </w:pPr>
      <w:r>
        <w:t xml:space="preserve">4. Баллы лояльности при возврате</w:t>
      </w:r>
    </w:p>
    <w:p>
      <w:pPr>
        <w:spacing w:after="120"/>
        <w:jc w:val="both"/>
      </w:pPr>
      <w:r>
        <w:t xml:space="preserve">При возврате товара начисленные за него баллы списываются пропорционально возвращённой сумме согласно правилам программы лояльности «ТоргЛайн Плюс».</w:t>
      </w:r>
    </w:p>
    <w:p>
      <w:pPr>
        <w:pStyle w:val="Heading2"/>
        <w:spacing w:after="120" w:before="240"/>
      </w:pPr>
      <w:r>
        <w:t xml:space="preserve">5. Товары, не подлежащие возврату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Продовольственные товары надлежащего качества.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Товары личной гигиены после вскрытия упаковки.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Товары, изготовленные по индивидуальному заказу.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2026-07-24T15:46:45.082Z</dcterms:created>
  <dcterms:modified xsi:type="dcterms:W3CDTF">2026-07-24T15:46:45.082Z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