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Развитие платформы «Камерата» — предложения на основе McKinsey State of AI 2026</w:t>
      </w:r>
    </w:p>
    <w:p>
      <w:r>
        <w:rPr>
          <w:b/>
        </w:rPr>
        <w:t>Источник:</w:t>
      </w:r>
      <w:r>
        <w:t xml:space="preserve"> Tinkoff D., Van der Veken L., Chui M., Balakrishnan T. «The State of AI in 2026: On the Road to ROI». QuantumBlack, AI by McKinsey / McKinsey &amp; Company, август 2026. Глобальный опрос, 1719 респондентов, 97 стран, проведён 4 мая – 8 июня 2026 г.</w:t>
      </w:r>
    </w:p>
    <w:p>
      <w:r>
        <w:rPr>
          <w:b/>
        </w:rPr>
        <w:t>Контекст:</w:t>
      </w:r>
      <w:r>
        <w:t xml:space="preserve"> заказчик прислал отчёт и попросил сформировать предложения по развитию платформы «Камерата» на его основе. Ниже — не пересказ отчёта, а прямой перевод его находок в продуктовые, коммерческие и методические решения для платформы.</w:t>
      </w:r>
    </w:p>
    <w:p>
      <w:r>
        <w:t>---</w:t>
      </w:r>
    </w:p>
    <w:p>
      <w:pPr>
        <w:pStyle w:val="Heading2"/>
      </w:pPr>
      <w:r>
        <w:t>Главные тезисы отчёта, релевантные для платформы</w:t>
      </w:r>
    </w:p>
    <w:p>
      <w:r>
        <w:t xml:space="preserve">- </w:t>
      </w:r>
      <w:r>
        <w:rPr>
          <w:b/>
        </w:rPr>
        <w:t>Центральный парадокс 2026 года:</w:t>
      </w:r>
      <w:r>
        <w:t xml:space="preserve"> индивидуальная польза от ИИ очевидна (80% отмечают рост продуктивности), а финансовый эффект на уровне всей организации не растёт второй год подряд (37% отмечают влияние на EBIT — без изменений к 2025 году). Разрыв между личной пользой и корпоративной отдачей — главная проблема, которую должна закрывать платформа, а не только сам факт внедрения ИИ.</w:t>
      </w:r>
    </w:p>
    <w:p>
      <w:r>
        <w:t xml:space="preserve">- </w:t>
      </w:r>
      <w:r>
        <w:rPr>
          <w:b/>
        </w:rPr>
        <w:t>Чат-боты почти закончили путь масштабирования (47% компаний уже довели их до всей организации) — фронтир сместился к автономным агентам</w:t>
      </w:r>
      <w:r>
        <w:t>, которые пока масштабируют только ~20% компаний. Кто первым закроет этот переход, получит преимущество.</w:t>
      </w:r>
    </w:p>
    <w:p>
      <w:r>
        <w:t xml:space="preserve">- </w:t>
      </w:r>
      <w:r>
        <w:rPr>
          <w:b/>
        </w:rPr>
        <w:t>«Купить или построить самому» — открытый вызов для вендора платформы.</w:t>
      </w:r>
      <w:r>
        <w:t xml:space="preserve"> 32% компаний отказались от покупки софта в пользу собственной разработки через ИИ-агентов для кода. Это прямая угроза продажам платформы, если не переосмыслить позиционирование.</w:t>
      </w:r>
    </w:p>
    <w:p>
      <w:r>
        <w:t xml:space="preserve">- </w:t>
      </w:r>
      <w:r>
        <w:rPr>
          <w:b/>
        </w:rPr>
        <w:t>Стоимость ИИ (токены, вычисления) уже ограничивает 20% организаций</w:t>
      </w:r>
      <w:r>
        <w:t xml:space="preserve"> — «токеномика» становится параметром архитектуры, а не запоздалой мыслью (цитата Майкла Чуй).</w:t>
      </w:r>
    </w:p>
    <w:p>
      <w:r>
        <w:t xml:space="preserve">- </w:t>
      </w:r>
      <w:r>
        <w:rPr>
          <w:b/>
        </w:rPr>
        <w:t>Управление рисками — главное отличие высокоэффективных компаний</w:t>
      </w:r>
      <w:r>
        <w:t>: они вдвое активнее контролируют технические уязвимости ИИ (56% против 46%) и несанкционированные действия агентов (45% против 33%). Это ровно то, что делает DLP/AI-guard функциональность платформы — не побочная опция, а стратегическое отличие.</w:t>
      </w:r>
    </w:p>
    <w:p>
      <w:r>
        <w:t xml:space="preserve">- </w:t>
      </w:r>
      <w:r>
        <w:rPr>
          <w:b/>
        </w:rPr>
        <w:t>«Ограничивающий фактор — способность организации усваивать перемены», не сама технология</w:t>
      </w:r>
      <w:r>
        <w:t xml:space="preserve"> (Тара Балакришнан). Высокоэффективные компании в 3 раза чаще перестраивают процессы с нуля (73% против 25%), а не встраивают ИИ в старые процессы.</w:t>
      </w:r>
    </w:p>
    <w:p>
      <w:r>
        <w:t>- Разные отрасли масштабируют агентов по-разному: ИТ/разработка — в инженерии; ритейл/FMCG — в маркетинге и продажах; тяжёлая промышленность — в цепочках поставок и производстве.</w:t>
      </w:r>
    </w:p>
    <w:p>
      <w:r>
        <w:t>---</w:t>
      </w:r>
    </w:p>
    <w:p>
      <w:pPr>
        <w:pStyle w:val="Heading2"/>
      </w:pPr>
      <w:r>
        <w:t>Предложения по развитию платформы</w:t>
      </w:r>
    </w:p>
    <w:p>
      <w:pPr>
        <w:pStyle w:val="Heading3"/>
      </w:pPr>
      <w:r>
        <w:t>A. Продуктовые доработки</w:t>
      </w:r>
    </w:p>
    <w:p>
      <w:r>
        <w:t>#### 1. Агентный слой поверх текущего RAG — не только чат, но и автономные многошаговые задачи</w:t>
      </w:r>
    </w:p>
    <w:p>
      <w:r>
        <w:rPr>
          <w:b/>
        </w:rPr>
        <w:t>Триггер:</w:t>
      </w:r>
      <w:r>
        <w:t xml:space="preserve"> чат-боты уже масштабированы у 47% компаний — рынок насыщен; агенты масштабируют только ~20%, при этом у крупных компаний доля выросла с 27% до 40% за год (Раздел 3–4 отчёта).</w:t>
      </w:r>
    </w:p>
    <w:p>
      <w:r>
        <w:rPr>
          <w:b/>
        </w:rPr>
        <w:t>Предложение:</w:t>
      </w:r>
      <w:r>
        <w:t xml:space="preserve"> развить платформу от «вопрос-ответ по документам» к оркестрации многошаговых задач — агент, который сам решает, какие источники запросить, какие действия выполнить (в рамках разрешённых прав), и возвращает результат, а не просто цитату. Это прямое продолжение уже обсуждаемых платформенных пунктов (реестр, </w:t>
      </w:r>
      <w:r>
        <w:rPr>
          <w:rFonts w:ascii="Consolas" w:hAnsi="Consolas"/>
          <w:sz w:val="20"/>
        </w:rPr>
        <w:t>case-27</w:t>
      </w:r>
      <w:r>
        <w:t>, §4): «обновление данных в RAG через API» и «динамические права доступа» — оба необходимы именно для того, чтобы агент мог безопасно действовать, а не только отвечать на вопросы.</w:t>
      </w:r>
    </w:p>
    <w:p>
      <w:r>
        <w:rPr>
          <w:b/>
        </w:rPr>
        <w:t>Приоритет:</w:t>
      </w:r>
      <w:r>
        <w:t xml:space="preserve"> высокий — это следующая волна спроса, и окно для лидерства пока открыто (только 20% рынка на этой стадии).</w:t>
      </w:r>
    </w:p>
    <w:p>
      <w:r>
        <w:t>#### 2. Модуль управления стоимостью ИИ («токеномика») — бюджеты, роутинг моделей, прозрачность расходов</w:t>
      </w:r>
    </w:p>
    <w:p>
      <w:r>
        <w:rPr>
          <w:b/>
        </w:rPr>
        <w:t>Триггер:</w:t>
      </w:r>
      <w:r>
        <w:t xml:space="preserve"> 20% организаций уже ограничены расходами на токены; McKinsey прямо называет это «параметром дизайна архитектуры», а не эксплуатационным расходом постфактум (Раздел 7).</w:t>
      </w:r>
    </w:p>
    <w:p>
      <w:r>
        <w:rPr>
          <w:b/>
        </w:rPr>
        <w:t>Предложение:</w:t>
      </w:r>
      <w:r>
        <w:t xml:space="preserve"> добавить в платформу: (а) дашборд потребления токенов по подразделению/роли/пользователю, (б) автоматический роутинг простых запросов на более дешёвые модели, дорогие модели — только для сложных задач, (в) лимиты/алерты по бюджету на уровне департамента. Для заказчиков вроде Д8 это станет аргументом в пользу платформы против самостоятельной сборки — токеномика считается заранее, а не выясняется постфактум.</w:t>
      </w:r>
    </w:p>
    <w:p>
      <w:r>
        <w:rPr>
          <w:b/>
        </w:rPr>
        <w:t>Приоритет:</w:t>
      </w:r>
      <w:r>
        <w:t xml:space="preserve"> высокий — это то немногое из отчёта, что прямо и быстро монетизируется как отличие платформы.</w:t>
      </w:r>
    </w:p>
    <w:p>
      <w:r>
        <w:t>#### 3. Guardrails и аудит действий агентов — расширение DLP/AI-guard функциональности</w:t>
      </w:r>
    </w:p>
    <w:p>
      <w:r>
        <w:rPr>
          <w:b/>
        </w:rPr>
        <w:t>Триггер:</w:t>
      </w:r>
      <w:r>
        <w:t xml:space="preserve"> высокоэффективные компании в 1,7–2 раза активнее контролируют технические уязвимости ИИ и несанкционированные/непреднамеренные действия агентов (56%/46% и 45%/33% — Раздел 8).</w:t>
      </w:r>
    </w:p>
    <w:p>
      <w:r>
        <w:rPr>
          <w:b/>
        </w:rPr>
        <w:t>Предложение:</w:t>
      </w:r>
      <w:r>
        <w:t xml:space="preserve"> это прямое усиление уже существующего ядра платформы (маскирование, DLP), а не новая ветка. По мере перехода к агентам (предложение 1) нужен слой аудита: какие действия агент совершил, по чьему разрешению, с какими данными. Уже присутствующая в реестре «динамическая модель прав доступа через API» (</w:t>
      </w:r>
      <w:r>
        <w:rPr>
          <w:rFonts w:ascii="Consolas" w:hAnsi="Consolas"/>
          <w:sz w:val="20"/>
        </w:rPr>
        <w:t>case-27</w:t>
      </w:r>
      <w:r>
        <w:t>, вопрос 11) становится не просто удобством, а условием безопасного масштабирования агентов.</w:t>
      </w:r>
    </w:p>
    <w:p>
      <w:r>
        <w:rPr>
          <w:b/>
        </w:rPr>
        <w:t>Приоритет:</w:t>
      </w:r>
      <w:r>
        <w:t xml:space="preserve"> критичный — это единственный пункт отчёта, где польза платформы не требует объяснений: конкуренты «build in-house» почти никогда не строят это качественно с нуля.</w:t>
      </w:r>
    </w:p>
    <w:p>
      <w:r>
        <w:t>#### 4. Дашборд ценности/ROI — мост между индивидуальной пользой и метриками бизнеса</w:t>
      </w:r>
    </w:p>
    <w:p>
      <w:r>
        <w:rPr>
          <w:b/>
        </w:rPr>
        <w:t>Триггер:</w:t>
      </w:r>
      <w:r>
        <w:t xml:space="preserve"> главный парадокс отчёта — 80% личной пользы против 37% влияния на EBIT без изменений второй год подряд (Раздел 6). Разрыв возникает не потому, что пользы нет, а потому что её не переводят в язык бизнес-метрик.</w:t>
      </w:r>
    </w:p>
    <w:p>
      <w:r>
        <w:rPr>
          <w:b/>
        </w:rPr>
        <w:t>Предложение:</w:t>
      </w:r>
      <w:r>
        <w:t xml:space="preserve"> добавить модуль отчётности, который переводит использование платформы (число запросов, экономия времени по типовым сценариям, найденные документы) в оценку экономического эффекта — время сотрудника × ставка, избежанные ошибки, ускорение процессов. Это одновременно продуктовая ценность для заказчика (обоснование бюджета перед своим руководством) и инструмент продаж для нас самих (тот же аргумент в pre-sale).</w:t>
      </w:r>
    </w:p>
    <w:p>
      <w:r>
        <w:rPr>
          <w:b/>
        </w:rPr>
        <w:t>Приоритет:</w:t>
      </w:r>
      <w:r>
        <w:t xml:space="preserve"> средний — сложнее в реализации (нужна методология расчёта), но закрывает самую больную точку отчёта.</w:t>
      </w:r>
    </w:p>
    <w:p>
      <w:pPr>
        <w:pStyle w:val="Heading3"/>
      </w:pPr>
      <w:r>
        <w:t>B. Позиционирование и продажи</w:t>
      </w:r>
    </w:p>
    <w:p>
      <w:r>
        <w:t>#### 5. Явное сообщение «купить критичное, построить дифференцирующее» — ответ на угрозу build-in-house</w:t>
      </w:r>
    </w:p>
    <w:p>
      <w:r>
        <w:rPr>
          <w:b/>
        </w:rPr>
        <w:t>Триггер:</w:t>
      </w:r>
      <w:r>
        <w:t xml:space="preserve"> 32% компаний отказались от покупки софта в пользу самостоятельной разработки через ИИ-агентов — это прямая угроза продажам платформы (Раздел 5). Старший партнёр McKinsey Ливен Ван дер Векен формулирует новую логику: не «строить всё самим», а осознанный выбор — что покупать, что строить, где растить внутреннюю экспертизу.</w:t>
      </w:r>
    </w:p>
    <w:p>
      <w:r>
        <w:rPr>
          <w:b/>
        </w:rPr>
        <w:t>Предложение:</w:t>
      </w:r>
      <w:r>
        <w:t xml:space="preserve"> зафиксировать в коммерческих материалах позицию: инфраструктурный слой (DLP, маскирование, управление доступом, интеграция с ESB/КХД, токен-экономика) — покупать у платформы, потому что это дорого и рискованно строить с нуля и переделывать при ошибке; прикладную логику конкретных сценариев — заказчик может достраивать поверх платформы через API. Это снимает возражение «мы можем сделать сами» и превращает его в аргумент за платформу.</w:t>
      </w:r>
    </w:p>
    <w:p>
      <w:r>
        <w:rPr>
          <w:b/>
        </w:rPr>
        <w:t>Приоритет:</w:t>
      </w:r>
      <w:r>
        <w:t xml:space="preserve"> высокий, низкие трудозатраты — это вопрос коммуникации, не разработки.</w:t>
      </w:r>
    </w:p>
    <w:p>
      <w:r>
        <w:t>#### 6. Отраслевые плейбуки агентов вместо универсального чат-интерфейса</w:t>
      </w:r>
    </w:p>
    <w:p>
      <w:r>
        <w:rPr>
          <w:b/>
        </w:rPr>
        <w:t>Триггер:</w:t>
      </w:r>
      <w:r>
        <w:t xml:space="preserve"> масштабирование агентов сильно различается по отраслям — ИТ и разработка ПО, ритейл — маркетинг/продажи, тяжёлая промышленность — цепочки поставок (Раздел 4).</w:t>
      </w:r>
    </w:p>
    <w:p>
      <w:r>
        <w:rPr>
          <w:b/>
        </w:rPr>
        <w:t>Предложение:</w:t>
      </w:r>
      <w:r>
        <w:t xml:space="preserve"> для вертикали, в которой уже есть опыт (инвестиционные компании/брокеры, см. Д8) — собрать типовые сценарии агентов для комплаенс и фронт-офиса как референсный плейбук, который можно быстро адаптировать под следующего клиента в этой отрасли, вместо повторной разработки с нуля.</w:t>
      </w:r>
    </w:p>
    <w:p>
      <w:r>
        <w:rPr>
          <w:b/>
        </w:rPr>
        <w:t>Приоритет:</w:t>
      </w:r>
      <w:r>
        <w:t xml:space="preserve"> средний — даёт эффект после 2–3 проектов в одной вертикали.</w:t>
      </w:r>
    </w:p>
    <w:p>
      <w:pPr>
        <w:pStyle w:val="Heading3"/>
      </w:pPr>
      <w:r>
        <w:t>C. Методология внедрения</w:t>
      </w:r>
    </w:p>
    <w:p>
      <w:r>
        <w:t>#### 7. Усилить в методике посыл «процессы пересобираются заново», а не «ИИ встраивается в старые»</w:t>
      </w:r>
    </w:p>
    <w:p>
      <w:r>
        <w:rPr>
          <w:b/>
        </w:rPr>
        <w:t>Триггер:</w:t>
      </w:r>
      <w:r>
        <w:t xml:space="preserve"> высокоэффективные компании в 3 раза чаще перестраивают рабочие процессы с нуля (73% против 25% — Раздел 8). McKinsey прямо связывает это с реальной финансовой отдачей, а не только с индивидуальной пользой.</w:t>
      </w:r>
    </w:p>
    <w:p>
      <w:r>
        <w:rPr>
          <w:b/>
        </w:rPr>
        <w:t>Предложение:</w:t>
      </w:r>
      <w:r>
        <w:t xml:space="preserve"> добавить в </w:t>
      </w:r>
      <w:r>
        <w:rPr>
          <w:rFonts w:ascii="Consolas" w:hAnsi="Consolas"/>
          <w:sz w:val="20"/>
        </w:rPr>
        <w:t>docs/metodika-vnedreniya.md</w:t>
      </w:r>
      <w:r>
        <w:t xml:space="preserve"> явный принцип: фаза П2 («Целевая архитектура и волны роллаута») должна включать не только техническую карту волн, но и пересмотр самого рабочего процесса, который заменяется, а не молчаливое предположение «просто добавим ИИ поверх текущего процесса».</w:t>
      </w:r>
    </w:p>
    <w:p>
      <w:r>
        <w:rPr>
          <w:b/>
        </w:rPr>
        <w:t>Приоритет:</w:t>
      </w:r>
      <w:r>
        <w:t xml:space="preserve"> низкие трудозатраты — это дополнение к уже существующему документу.</w:t>
      </w:r>
    </w:p>
    <w:p>
      <w:r>
        <w:t>#### 8. Явный трек «управление изменениями», отдельно от технического внедрения</w:t>
      </w:r>
    </w:p>
    <w:p>
      <w:r>
        <w:rPr>
          <w:b/>
        </w:rPr>
        <w:t>Триггер:</w:t>
      </w:r>
      <w:r>
        <w:t xml:space="preserve"> «Ограничивающий фактор — способность организации усваивать перемены» (Тара Балакришнан, Раздел 8) — не сама технология. Ожидания по сокращению штата растут (39% против 32% год назад), а реальные сокращения вдвое ниже ожиданий — это признак рассинхронизации коммуникации внутри организаций-клиентов.</w:t>
      </w:r>
    </w:p>
    <w:p>
      <w:r>
        <w:rPr>
          <w:b/>
        </w:rPr>
        <w:t>Предложение:</w:t>
      </w:r>
      <w:r>
        <w:t xml:space="preserve"> сделать управление изменениями (коммуникация с командой заказчика, ожидания по штату, обучение) явным пунктом сдачи каждой волны в методике — не только техническая приёмка (как сейчас), но и организационная: обучены ли пользователи, снята ли тревога по поводу сокращений, есть ли «чемпионы» внедрения внутри команды заказчика.</w:t>
      </w:r>
    </w:p>
    <w:p>
      <w:r>
        <w:rPr>
          <w:b/>
        </w:rPr>
        <w:t>Приоритет:</w:t>
      </w:r>
      <w:r>
        <w:t xml:space="preserve"> средний — влияет на успешность внедрения сильнее, чем кажется по объёму работы.</w:t>
      </w:r>
    </w:p>
    <w:p>
      <w:r>
        <w:t>---</w:t>
      </w:r>
    </w:p>
    <w:p>
      <w:pPr>
        <w:pStyle w:val="Heading2"/>
      </w:pPr>
      <w:r>
        <w:t>Как использовать этот список</w:t>
      </w:r>
    </w:p>
    <w:p>
      <w:r>
        <w:t>Восемь предложений — рабочий список для приоритизации, не готовый план спринтов. Рекомендуем короткое обсуждение внутри команды платформы, чтобы:</w:t>
      </w:r>
    </w:p>
    <w:p>
      <w:r>
        <w:t xml:space="preserve">1. Подтвердить, какие пункты уже в разработке (например, «динамическая модель прав» и «обновление RAG через API» уже есть в реестре платформенных пожеланий, </w:t>
      </w:r>
      <w:r>
        <w:rPr>
          <w:rFonts w:ascii="Consolas" w:hAnsi="Consolas"/>
          <w:sz w:val="20"/>
        </w:rPr>
        <w:t>case-27</w:t>
      </w:r>
      <w:r>
        <w:t>, §4 — предложения 1 и 3 выше их переиспользуют).</w:t>
      </w:r>
    </w:p>
    <w:p>
      <w:r>
        <w:t>2. Выбрать 2–3 предложения с наибольшим эффектом при наименьших трудозатратах для ближайшего квартала — по этому критерию первыми кандидатами выглядят №2 (токен-бюджеты), №3 (аудит действий агентов) и №5 (позиционирование против build-in-house).</w:t>
      </w:r>
    </w:p>
    <w:p>
      <w:pPr>
        <w:pStyle w:val="Heading2"/>
      </w:pPr>
      <w:r>
        <w:t>См. также</w:t>
      </w:r>
    </w:p>
    <w:p>
      <w:r>
        <w:t>- [</w:t>
      </w:r>
      <w:r>
        <w:rPr>
          <w:rFonts w:ascii="Consolas" w:hAnsi="Consolas"/>
          <w:sz w:val="20"/>
        </w:rPr>
        <w:t>docs/analysis/case-27-proekt-d8-skoup-i-voprosy.md</w:t>
      </w:r>
      <w:r>
        <w:t>](case-27-proekt-d8-skoup-i-voprosy.md), §4 — реестр открытых платформенных пунктов, с которым пересекаются предложения 1 и 3.</w:t>
      </w:r>
    </w:p>
    <w:p>
      <w:r>
        <w:t>- [</w:t>
      </w:r>
      <w:r>
        <w:rPr>
          <w:rFonts w:ascii="Consolas" w:hAnsi="Consolas"/>
          <w:sz w:val="20"/>
        </w:rPr>
        <w:t>docs/metodika-vnedreniya.md</w:t>
      </w:r>
      <w:r>
        <w:t>](../metodika-vnedreniya.md) — методика внедрения, куда относятся предложения 7–8.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