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Скоуп проекта Д8 (Кейс 2 методики) — рабочий разбор и вопросы к заказчику</w:t>
      </w:r>
    </w:p>
    <w:p>
      <w:r>
        <w:rPr>
          <w:b/>
        </w:rPr>
        <w:t>Контекст:</w:t>
      </w:r>
      <w:r>
        <w:t xml:space="preserve"> применение методики внедрения (</w:t>
      </w:r>
      <w:r>
        <w:rPr>
          <w:rFonts w:ascii="Consolas" w:hAnsi="Consolas"/>
          <w:sz w:val="20"/>
        </w:rPr>
        <w:t>docs/metodika-vnedreniya.md</w:t>
      </w:r>
      <w:r>
        <w:t>, Кейс 2 — Проект) к конкретному кандидату — АО «Инвестиционная компания Д8», единственному клиенту в базе, реально прошедшему пилот достаточно далеко, чтобы обсуждать масштабирование. Ниже — то, что уже известно из пилотного ТЗ и разбора мастер-ТЗ, что подтвердил заказчик в этой сессии, черновая карта волн проекта, и открытые вопросы, которые нужно закрыть до фазы П2 («Целевая архитектура и волны роллаута»).</w:t>
      </w:r>
    </w:p>
    <w:p>
      <w:r>
        <w:t>---</w:t>
      </w:r>
    </w:p>
    <w:p>
      <w:pPr>
        <w:pStyle w:val="Heading2"/>
      </w:pPr>
      <w:r>
        <w:t>1. Что уже известно (из пилотного ТЗ и мастер-ТЗ)</w:t>
      </w:r>
    </w:p>
    <w:p>
      <w:pPr>
        <w:pStyle w:val="Heading3"/>
      </w:pPr>
      <w:r>
        <w:t>Скоуп пилота (для сравнения)</w:t>
      </w:r>
    </w:p>
    <w:p>
      <w:r>
        <w:t xml:space="preserve">3 источника данных (КХД, CRM Bitrix24 через ESB, MCP-сервер), 2 согласованные роли из «до 5 в перспективе», 2 коллекции документов, до 20 пилотных пользователей. Источник: </w:t>
      </w:r>
      <w:r>
        <w:rPr>
          <w:rFonts w:ascii="Consolas" w:hAnsi="Consolas"/>
          <w:sz w:val="20"/>
        </w:rPr>
        <w:t>case-03-pilot-tz-ai-guard.md</w:t>
      </w:r>
      <w:r>
        <w:t xml:space="preserve">, </w:t>
      </w:r>
      <w:r>
        <w:rPr>
          <w:rFonts w:ascii="Consolas" w:hAnsi="Consolas"/>
          <w:sz w:val="20"/>
        </w:rPr>
        <w:t>docs/onboarding.md</w:t>
      </w:r>
      <w:r>
        <w:t>.</w:t>
      </w:r>
    </w:p>
    <w:p>
      <w:r>
        <w:t>Пилотное ТЗ изначально называло и четвёртый источник — «RAG-компании» — как отдельный пункт с открытым статусом (</w:t>
      </w:r>
      <w:r>
        <w:rPr>
          <w:rFonts w:ascii="Consolas" w:hAnsi="Consolas"/>
          <w:sz w:val="20"/>
        </w:rPr>
        <w:t>case-03-pilot-tz-ai-guard.md:29,83</w:t>
      </w:r>
      <w:r>
        <w:t xml:space="preserve">: «не до конца ясно, идёт ли речь о самостоятельном RAG-продукте Д8... или это просто дублирующее название той же платформы»). </w:t>
      </w:r>
      <w:r>
        <w:rPr>
          <w:b/>
        </w:rPr>
        <w:t>Резолюция 14.09.2026:</w:t>
      </w:r>
      <w:r>
        <w:t xml:space="preserve"> заказчик считает это, скорее всего, опечаткой/дублирующим названием, не отдельной системой — убрано из скоупа как самостоятельный источник (подробнее — §2).</w:t>
      </w:r>
    </w:p>
    <w:p>
      <w:pPr>
        <w:pStyle w:val="Heading3"/>
      </w:pPr>
      <w:r>
        <w:t>Полный ландшафт по мастер-ТЗ (</w:t>
      </w:r>
      <w:r>
        <w:rPr>
          <w:rFonts w:ascii="Consolas" w:hAnsi="Consolas"/>
          <w:sz w:val="20"/>
        </w:rPr>
        <w:t>docs/sources/tz-rag-investment.pdf</w:t>
      </w:r>
      <w:r>
        <w:t>, §1.2–1.3) — шире пилота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Источник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Критичность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Подключение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В пилоте?</w:t>
            </w:r>
          </w:p>
        </w:tc>
      </w:tr>
      <w:tr>
        <w:tc>
          <w:tcPr>
            <w:tcW w:type="dxa" w:w="2160"/>
          </w:tcPr>
          <w:p>
            <w:r>
              <w:t>CRM Bitrix24</w:t>
            </w:r>
          </w:p>
        </w:tc>
        <w:tc>
          <w:tcPr>
            <w:tcW w:type="dxa" w:w="2160"/>
          </w:tcPr>
          <w:p>
            <w:r>
              <w:t>Критический</w:t>
            </w:r>
          </w:p>
        </w:tc>
        <w:tc>
          <w:tcPr>
            <w:tcW w:type="dxa" w:w="2160"/>
          </w:tcPr>
          <w:p>
            <w:r>
              <w:t>REST API/Webhook</w:t>
            </w:r>
          </w:p>
        </w:tc>
        <w:tc>
          <w:tcPr>
            <w:tcW w:type="dxa" w:w="2160"/>
          </w:tcPr>
          <w:p>
            <w:r>
              <w:t>Да (через ESB)</w:t>
            </w:r>
          </w:p>
        </w:tc>
      </w:tr>
      <w:tr>
        <w:tc>
          <w:tcPr>
            <w:tcW w:type="dxa" w:w="2160"/>
          </w:tcPr>
          <w:p>
            <w:r>
              <w:t>Excel/CSV (портфели, AUM/AUC, P&amp;L, сделки, отчёты)</w:t>
            </w:r>
          </w:p>
        </w:tc>
        <w:tc>
          <w:tcPr>
            <w:tcW w:type="dxa" w:w="2160"/>
          </w:tcPr>
          <w:p>
            <w:r>
              <w:t>Критический</w:t>
            </w:r>
          </w:p>
        </w:tc>
        <w:tc>
          <w:tcPr>
            <w:tcW w:type="dxa" w:w="2160"/>
          </w:tcPr>
          <w:p>
            <w:r>
              <w:t>SMB</w:t>
            </w:r>
          </w:p>
        </w:tc>
        <w:tc>
          <w:tcPr>
            <w:tcW w:type="dxa" w:w="2160"/>
          </w:tcPr>
          <w:p>
            <w:r>
              <w:t>Не подтверждено</w:t>
            </w:r>
          </w:p>
        </w:tc>
      </w:tr>
      <w:tr>
        <w:tc>
          <w:tcPr>
            <w:tcW w:type="dxa" w:w="2160"/>
          </w:tcPr>
          <w:p>
            <w:r>
              <w:t>Word/PDF (декларации, договоры ДУ, меморандумы, регламенты)</w:t>
            </w:r>
          </w:p>
        </w:tc>
        <w:tc>
          <w:tcPr>
            <w:tcW w:type="dxa" w:w="2160"/>
          </w:tcPr>
          <w:p>
            <w:r>
              <w:t>Высокий</w:t>
            </w:r>
          </w:p>
        </w:tc>
        <w:tc>
          <w:tcPr>
            <w:tcW w:type="dxa" w:w="2160"/>
          </w:tcPr>
          <w:p>
            <w:r>
              <w:t>SMB</w:t>
            </w:r>
          </w:p>
        </w:tc>
        <w:tc>
          <w:tcPr>
            <w:tcW w:type="dxa" w:w="2160"/>
          </w:tcPr>
          <w:p>
            <w:r>
              <w:t>Не подтверждено</w:t>
            </w:r>
          </w:p>
        </w:tc>
      </w:tr>
      <w:tr>
        <w:tc>
          <w:tcPr>
            <w:tcW w:type="dxa" w:w="2160"/>
          </w:tcPr>
          <w:p>
            <w:r>
              <w:t>Email (входящие/исходящие)</w:t>
            </w:r>
          </w:p>
        </w:tc>
        <w:tc>
          <w:tcPr>
            <w:tcW w:type="dxa" w:w="2160"/>
          </w:tcPr>
          <w:p>
            <w:r>
              <w:t>Низкий</w:t>
            </w:r>
          </w:p>
        </w:tc>
        <w:tc>
          <w:tcPr>
            <w:tcW w:type="dxa" w:w="2160"/>
          </w:tcPr>
          <w:p>
            <w:r>
              <w:t>IMAP/MS Graph API</w:t>
            </w:r>
          </w:p>
        </w:tc>
        <w:tc>
          <w:tcPr>
            <w:tcW w:type="dxa" w:w="2160"/>
          </w:tcPr>
          <w:p>
            <w:r>
              <w:t>Нет — Must Have в ТЗ, но 0 тест-кейсов TC-EMAIL</w:t>
            </w:r>
          </w:p>
        </w:tc>
      </w:tr>
      <w:tr>
        <w:tc>
          <w:tcPr>
            <w:tcW w:type="dxa" w:w="2160"/>
          </w:tcPr>
          <w:p>
            <w:r>
              <w:t>Внутренние регламенты (compliance)</w:t>
            </w:r>
          </w:p>
        </w:tc>
        <w:tc>
          <w:tcPr>
            <w:tcW w:type="dxa" w:w="2160"/>
          </w:tcPr>
          <w:p>
            <w:r>
              <w:t>Средний</w:t>
            </w:r>
          </w:p>
        </w:tc>
        <w:tc>
          <w:tcPr>
            <w:tcW w:type="dxa" w:w="2160"/>
          </w:tcPr>
          <w:p>
            <w:r>
              <w:t>Word/PDF папка</w:t>
            </w:r>
          </w:p>
        </w:tc>
        <w:tc>
          <w:tcPr>
            <w:tcW w:type="dxa" w:w="2160"/>
          </w:tcPr>
          <w:p>
            <w:r>
              <w:t>Не подтверждено</w:t>
            </w:r>
          </w:p>
        </w:tc>
      </w:tr>
      <w:tr>
        <w:tc>
          <w:tcPr>
            <w:tcW w:type="dxa" w:w="2160"/>
          </w:tcPr>
          <w:p>
            <w:r>
              <w:t>Back office (сделки, документы)</w:t>
            </w:r>
          </w:p>
        </w:tc>
        <w:tc>
          <w:tcPr>
            <w:tcW w:type="dxa" w:w="2160"/>
          </w:tcPr>
          <w:p>
            <w:r>
              <w:t>Критический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Не подтверждено</w:t>
            </w:r>
          </w:p>
        </w:tc>
      </w:tr>
      <w:tr>
        <w:tc>
          <w:tcPr>
            <w:tcW w:type="dxa" w:w="2160"/>
          </w:tcPr>
          <w:p>
            <w:r>
              <w:t>Confluence (база знаний)</w:t>
            </w:r>
          </w:p>
        </w:tc>
        <w:tc>
          <w:tcPr>
            <w:tcW w:type="dxa" w:w="2160"/>
          </w:tcPr>
          <w:p>
            <w:r>
              <w:t>Высокий</w:t>
            </w:r>
          </w:p>
        </w:tc>
        <w:tc>
          <w:tcPr>
            <w:tcW w:type="dxa" w:w="2160"/>
          </w:tcPr>
          <w:p>
            <w:r>
              <w:t>Confluence</w:t>
            </w:r>
          </w:p>
        </w:tc>
        <w:tc>
          <w:tcPr>
            <w:tcW w:type="dxa" w:w="2160"/>
          </w:tcPr>
          <w:p>
            <w:r>
              <w:t>Нет</w:t>
            </w:r>
          </w:p>
        </w:tc>
      </w:tr>
    </w:tbl>
    <w:p>
      <w:r>
        <w:t>Роли по мастер-ТЗ (§1.3): Менеджер фронт-офиса (10–20 чел), Аналитик/Портфельный управляющий (5–10 чел), Руководство (3–7 чел), Бэк-офис (5–10 чел) — суммарно ориентировочно 23–47 человек против пилотных «до 20 пользователей» и 2 активных ролей.</w:t>
      </w:r>
    </w:p>
    <w:p>
      <w:r>
        <w:rPr>
          <w:b/>
        </w:rPr>
        <w:t>Явно отложено в мастер-ТЗ (п. 3.2, дословно):</w:t>
      </w:r>
      <w:r>
        <w:t xml:space="preserve"> «Разграничение прав: compliance видит свои документы, менеджер — своих клиентов (опционально в v2)» — то есть построчная сегрегация доступа внутри роли сейчас не гарантирована даже логически, не только по факту пилота.</w:t>
      </w:r>
    </w:p>
    <w:p>
      <w:r>
        <w:rPr>
          <w:b/>
        </w:rPr>
        <w:t>Важно:</w:t>
      </w:r>
      <w:r>
        <w:t xml:space="preserve"> ни в одном документе базы нет фактической оргструктуры/штата Д8 — таблица ролей выше взята из мастер-ТЗ и не сверялась с реальными подразделениями (см. </w:t>
      </w:r>
      <w:r>
        <w:rPr>
          <w:rFonts w:ascii="Consolas" w:hAnsi="Consolas"/>
          <w:sz w:val="20"/>
        </w:rPr>
        <w:t>case-20-katalog-tree-critic-verdict.md</w:t>
      </w:r>
      <w:r>
        <w:t>). Это не факт, а лучшее доступное приближение.</w:t>
      </w:r>
    </w:p>
    <w:p>
      <w:r>
        <w:t>---</w:t>
      </w:r>
    </w:p>
    <w:p>
      <w:pPr>
        <w:pStyle w:val="Heading2"/>
      </w:pPr>
      <w:r>
        <w:t>2. Подтверждено заказчиком в этой сессии (13–14.09.2026)</w:t>
      </w:r>
    </w:p>
    <w:p>
      <w:r>
        <w:t xml:space="preserve">Все 3 пилотных источника (КХД, ESB/CRM Bitrix24, MCP-сервер) </w:t>
      </w:r>
      <w:r>
        <w:rPr>
          <w:b/>
        </w:rPr>
        <w:t>остаются в скоупе проекта</w:t>
      </w:r>
      <w:r>
        <w:t xml:space="preserve"> — ничего из них не выводится. </w:t>
      </w:r>
      <w:r>
        <w:rPr>
          <w:b/>
        </w:rPr>
        <w:t>ESB и КХД — основные каналы, которые расширяются</w:t>
      </w:r>
      <w:r>
        <w:t>: больше витрин данных и больше API внутри шины, плюс, видимо, более широкий периметр самого хранилища. MCP-сервер остаётся в проекте как есть, на пилотном уровне — без заявленного расширения (если не появится отдельного запроса).</w:t>
      </w:r>
    </w:p>
    <w:p>
      <w:r>
        <w:rPr>
          <w:b/>
        </w:rPr>
        <w:t>Резолюция по «RAG-компании»:</w:t>
      </w:r>
      <w:r>
        <w:t xml:space="preserve"> заказчик подтвердил, что формулировка в пилотном ТЗ — скорее всего опечатка или дублирующее название пилотного контура, а не отдельная система. Убрано из скоупа как самостоятельный источник; снимает открытый вопрос, тянувшийся с пилотного ТЗ.</w:t>
      </w:r>
    </w:p>
    <w:p>
      <w:r>
        <w:t>Источники из мастер-ТЗ, не входившие в пилот (Excel/CSV напрямую, Email, Confluence, отдельный back-office-коннектор) — по-прежнему не подтверждены и не затронуты этим решением ни в одну, ни в другую сторону (см. вопрос 9).</w:t>
      </w:r>
    </w:p>
    <w:p>
      <w:r>
        <w:t>---</w:t>
      </w:r>
    </w:p>
    <w:p>
      <w:pPr>
        <w:pStyle w:val="Heading2"/>
      </w:pPr>
      <w:r>
        <w:t>3. Волны проекта — черновая карта (главный открытый вопрос)</w:t>
      </w:r>
    </w:p>
    <w:p>
      <w:r>
        <w:t>Заказчик задал порядок первых двух волн; дальнейшие волны прямо помечены как требующие уточнения.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Волна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Содержание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Статус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РАГ-документы</w:t>
            </w:r>
          </w:p>
        </w:tc>
        <w:tc>
          <w:tcPr>
            <w:tcW w:type="dxa" w:w="2880"/>
          </w:tcPr>
          <w:p>
            <w:r>
              <w:t>Порядок подтверждён заказчиком; точное содержание волны требует уточнения — см. ниже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Расширение КХД и ESB (шины)</w:t>
            </w:r>
          </w:p>
        </w:tc>
        <w:tc>
          <w:tcPr>
            <w:tcW w:type="dxa" w:w="2880"/>
          </w:tcPr>
          <w:p>
            <w:r>
              <w:t>Подтверждено заказчиком (см. §2) — больше витрин и API в шине, возможно расширение периметра КХД</w:t>
            </w:r>
          </w:p>
        </w:tc>
      </w:tr>
      <w:tr>
        <w:tc>
          <w:tcPr>
            <w:tcW w:type="dxa" w:w="2880"/>
          </w:tcPr>
          <w:p>
            <w:r>
              <w:t>3+</w:t>
            </w:r>
          </w:p>
        </w:tc>
        <w:tc>
          <w:tcPr>
            <w:tcW w:type="dxa" w:w="2880"/>
          </w:tcPr>
          <w:p>
            <w:r>
              <w:t>Не определено</w:t>
            </w:r>
          </w:p>
        </w:tc>
        <w:tc>
          <w:tcPr>
            <w:tcW w:type="dxa" w:w="2880"/>
          </w:tcPr>
          <w:p>
            <w:r>
              <w:t>Заказчик прямо отметил: «уточнить какие дальше»</w:t>
            </w:r>
          </w:p>
        </w:tc>
      </w:tr>
    </w:tbl>
    <w:p>
      <w:pPr>
        <w:pStyle w:val="Heading3"/>
      </w:pPr>
      <w:r>
        <w:t>Волна 1 — «РАГ-документы»: что нужно уточнить</w:t>
      </w:r>
    </w:p>
    <w:p>
      <w:r>
        <w:t>Формулировка допускает минимум три разных толкования — их не стоит смешивать без явного уточнения у заказчика:</w:t>
      </w:r>
    </w:p>
    <w:p>
      <w:r>
        <w:t xml:space="preserve">- </w:t>
      </w:r>
      <w:r>
        <w:rPr>
          <w:b/>
        </w:rPr>
        <w:t>(а) Расширение самого документного корпуса</w:t>
      </w:r>
      <w:r>
        <w:t xml:space="preserve"> — добавление типов документов, не входивших в пилот: Word/PDF из мастер-ТЗ (декларации, договоры ДУ, меморандумы, внутренние регламенты — §1.2, статус «не подтверждено»). Если это имелось в виду — волна 1 частично закрывает вопрос 9 ниже (Word/PDF-регламенты).</w:t>
      </w:r>
    </w:p>
    <w:p>
      <w:r>
        <w:t xml:space="preserve">- </w:t>
      </w:r>
      <w:r>
        <w:rPr>
          <w:b/>
        </w:rPr>
        <w:t>(б) Улучшение качества и покрытия уже подключённых RAG-коллекций пилота</w:t>
      </w:r>
      <w:r>
        <w:t xml:space="preserve"> (их 2) — без добавления новых типов документов, а работа над полнотой/актуальностью того, что уже загружено.</w:t>
      </w:r>
    </w:p>
    <w:p>
      <w:r>
        <w:t xml:space="preserve">- </w:t>
      </w:r>
      <w:r>
        <w:rPr>
          <w:b/>
        </w:rPr>
        <w:t>(в) Технически новая RAG-коллекция</w:t>
      </w:r>
      <w:r>
        <w:t xml:space="preserve"> под конкретное подразделение или задачу, отдельная от двух пилотных.</w:t>
      </w:r>
    </w:p>
    <w:p>
      <w:r>
        <w:t>Рекомендуем закрыть это тем же способом, что и вопрос про «RAG-компании» — коротким уточняющим созвоном, а не перепиской, поскольку от ответа зависит, входит ли волна 1 в периметр методического этапа П2 (архитектура) или это отдельная, более узкая задача каталогизации/загрузки контента.</w:t>
      </w:r>
    </w:p>
    <w:p>
      <w:pPr>
        <w:pStyle w:val="Heading3"/>
      </w:pPr>
      <w:r>
        <w:t>Волна 2 — Расширение КХД и ESB</w:t>
      </w:r>
    </w:p>
    <w:p>
      <w:r>
        <w:t>Содержание уже описано в §2. Технические открытые вопросы по этой волне — вопросы 1–3 в §5.</w:t>
      </w:r>
    </w:p>
    <w:p>
      <w:pPr>
        <w:pStyle w:val="Heading3"/>
      </w:pPr>
      <w:r>
        <w:t>Волна 3+ — открыто, кандидаты для обсуждения</w:t>
      </w:r>
    </w:p>
    <w:p>
      <w:r>
        <w:t>Заказчик явно оставил это открытым. Ниже — не решение, а материал для следующего разговора (кандидаты, исходя из известного контекста):</w:t>
      </w:r>
    </w:p>
    <w:p>
      <w:r>
        <w:t>- Роллаут на новые роли/подразделения (аналитики/портфельные управляющие → руководство → бэк-офис) — см. предложение 5 в §6.</w:t>
      </w:r>
    </w:p>
    <w:p>
      <w:r>
        <w:t>- Переход на динамические права доступа (вопрос 6), если к этому моменту готова платформенная сторона (реестр §4).</w:t>
      </w:r>
    </w:p>
    <w:p>
      <w:r>
        <w:t>- Источники вне пилотной тройки (Email/Confluence/Excel-CSV) — если по вопросу 9 заказчик подтвердит их актуальность.</w:t>
      </w:r>
    </w:p>
    <w:p>
      <w:r>
        <w:t>- Промышленная эксплуатация (фаза П4 методики) — начинается не как отдельная волна, а как переход в режим SLA после того, как первые волны приняты.</w:t>
      </w:r>
    </w:p>
    <w:p>
      <w:r>
        <w:t>---</w:t>
      </w:r>
    </w:p>
    <w:p>
      <w:pPr>
        <w:pStyle w:val="Heading2"/>
      </w:pPr>
      <w:r>
        <w:t>4. Реестр открытых платформенных пунктов (скриншот трекера, эта сессия)</w:t>
      </w:r>
    </w:p>
    <w:p>
      <w:r>
        <w:t>Транскрипция таблицы, присланной пользователем — статус/приоритет платформенных возможностей, релевантных для оценки готовности к проекту Д8: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Статус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Пункт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Приоритет</w:t>
            </w:r>
          </w:p>
        </w:tc>
      </w:tr>
      <w:tr>
        <w:tc>
          <w:tcPr>
            <w:tcW w:type="dxa" w:w="2880"/>
          </w:tcPr>
          <w:p>
            <w:r>
              <w:t>В плане</w:t>
            </w:r>
          </w:p>
        </w:tc>
        <w:tc>
          <w:tcPr>
            <w:tcW w:type="dxa" w:w="2880"/>
          </w:tcPr>
          <w:p>
            <w:r>
              <w:t>Мультидоменная авторизация</w:t>
            </w:r>
          </w:p>
        </w:tc>
        <w:tc>
          <w:tcPr>
            <w:tcW w:type="dxa" w:w="2880"/>
          </w:tcPr>
          <w:p>
            <w:r>
              <w:t>Критичный</w:t>
            </w:r>
          </w:p>
        </w:tc>
      </w:tr>
      <w:tr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Работа с MS Office 365</w:t>
            </w:r>
          </w:p>
        </w:tc>
        <w:tc>
          <w:tcPr>
            <w:tcW w:type="dxa" w:w="2880"/>
          </w:tcPr>
          <w:p>
            <w:r>
              <w:t>Нормальный</w:t>
            </w:r>
          </w:p>
        </w:tc>
      </w:tr>
      <w:tr>
        <w:tc>
          <w:tcPr>
            <w:tcW w:type="dxa" w:w="2880"/>
          </w:tcPr>
          <w:p>
            <w:r>
              <w:t>Выяснить про search API</w:t>
            </w:r>
          </w:p>
        </w:tc>
        <w:tc>
          <w:tcPr>
            <w:tcW w:type="dxa" w:w="2880"/>
          </w:tcPr>
          <w:p>
            <w:r>
              <w:t>Поддержка актуальной версии API Claude (web search и т.п.)</w:t>
            </w:r>
          </w:p>
        </w:tc>
        <w:tc>
          <w:tcPr>
            <w:tcW w:type="dxa" w:w="2880"/>
          </w:tcPr>
          <w:p>
            <w:r>
              <w:t>Критичный</w:t>
            </w:r>
          </w:p>
        </w:tc>
      </w:tr>
      <w:tr>
        <w:tc>
          <w:tcPr>
            <w:tcW w:type="dxa" w:w="2880"/>
          </w:tcPr>
          <w:p>
            <w:r>
              <w:t>Кастомизация выбора источников</w:t>
            </w:r>
          </w:p>
        </w:tc>
        <w:tc>
          <w:tcPr>
            <w:tcW w:type="dxa" w:w="2880"/>
          </w:tcPr>
          <w:p>
            <w:r>
              <w:t>Возможность подключения/отключения источников данных внутри компании при работе в режиме чата и через API</w:t>
            </w:r>
          </w:p>
        </w:tc>
        <w:tc>
          <w:tcPr>
            <w:tcW w:type="dxa" w:w="2880"/>
          </w:tcPr>
          <w:p>
            <w:r>
              <w:t>Нормальный</w:t>
            </w:r>
          </w:p>
        </w:tc>
      </w:tr>
      <w:tr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Отмечать замены в анонимизируемых данных для пользовательских правил не как CUSTOM_N, а с разными наименованиями для разных правил</w:t>
            </w:r>
          </w:p>
        </w:tc>
        <w:tc>
          <w:tcPr>
            <w:tcW w:type="dxa" w:w="2880"/>
          </w:tcPr>
          <w:p>
            <w:r>
              <w:t>Нормальный</w:t>
            </w:r>
          </w:p>
        </w:tc>
      </w:tr>
      <w:tr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Обновление данных в RAG-ах через API. Базы знаний ведутся в других источниках, нужны автоматические процедуры по поддержанию в актуальном состоянии баз знаний в ИИ платформе</w:t>
            </w:r>
          </w:p>
        </w:tc>
        <w:tc>
          <w:tcPr>
            <w:tcW w:type="dxa" w:w="2880"/>
          </w:tcPr>
          <w:p>
            <w:r>
              <w:t>Высокий</w:t>
            </w:r>
          </w:p>
        </w:tc>
      </w:tr>
      <w:tr>
        <w:tc>
          <w:tcPr>
            <w:tcW w:type="dxa" w:w="2880"/>
          </w:tcPr>
          <w:p>
            <w:r>
              <w:t>Требует проработки</w:t>
            </w:r>
          </w:p>
        </w:tc>
        <w:tc>
          <w:tcPr>
            <w:tcW w:type="dxa" w:w="2880"/>
          </w:tcPr>
          <w:p>
            <w:r>
              <w:t>Обновление информации о правах доступа сотрудников к данным внутри таблиц. Сейчас — только по фиксированному списку из политик доступа. Нужно, чтобы данные получались через таблицы/API — права динамические и могут регулярно меняться</w:t>
            </w:r>
          </w:p>
        </w:tc>
        <w:tc>
          <w:tcPr>
            <w:tcW w:type="dxa" w:w="2880"/>
          </w:tcPr>
          <w:p>
            <w:r>
              <w:t>Высокий</w:t>
            </w:r>
          </w:p>
        </w:tc>
      </w:tr>
      <w:tr>
        <w:tc>
          <w:tcPr>
            <w:tcW w:type="dxa" w:w="2880"/>
          </w:tcPr>
          <w:p>
            <w:r>
              <w:t>Требует проработки (визуал)</w:t>
            </w:r>
          </w:p>
        </w:tc>
        <w:tc>
          <w:tcPr>
            <w:tcW w:type="dxa" w:w="2880"/>
          </w:tcPr>
          <w:p>
            <w:r>
              <w:t>Работа с графиками — проблемы в отображении данных, есть планы по красоте отображения, пока не хочется оставлять как целевой вариант</w:t>
            </w:r>
          </w:p>
        </w:tc>
        <w:tc>
          <w:tcPr>
            <w:tcW w:type="dxa" w:w="2880"/>
          </w:tcPr>
          <w:p>
            <w:r>
              <w:t>Нормальный</w:t>
            </w:r>
          </w:p>
        </w:tc>
      </w:tr>
      <w:tr>
        <w:tc>
          <w:tcPr>
            <w:tcW w:type="dxa" w:w="2880"/>
          </w:tcPr>
          <w:p>
            <w:r>
              <w:t>Требует проработки</w:t>
            </w:r>
          </w:p>
        </w:tc>
        <w:tc>
          <w:tcPr>
            <w:tcW w:type="dxa" w:w="2880"/>
          </w:tcPr>
          <w:p>
            <w:r>
              <w:t>Дать пользователям возможность создавать RAG и делиться ими с сотрудниками — персональные коллекции у пользователя, а не набор файлов как сейчас. Выводить документы в фильтры для пользователя при выборе источника запроса</w:t>
            </w:r>
          </w:p>
        </w:tc>
        <w:tc>
          <w:tcPr>
            <w:tcW w:type="dxa" w:w="2880"/>
          </w:tcPr>
          <w:p>
            <w:r>
              <w:t>Нормальный</w:t>
            </w:r>
          </w:p>
        </w:tc>
      </w:tr>
      <w:tr>
        <w:tc>
          <w:tcPr>
            <w:tcW w:type="dxa" w:w="2880"/>
          </w:tcPr>
          <w:p>
            <w:r>
              <w:t>В работе</w:t>
            </w:r>
          </w:p>
        </w:tc>
        <w:tc>
          <w:tcPr>
            <w:tcW w:type="dxa" w:w="2880"/>
          </w:tcPr>
          <w:p>
            <w:r>
              <w:t>Пользовательская и админская документация на систему</w:t>
            </w:r>
          </w:p>
        </w:tc>
        <w:tc>
          <w:tcPr>
            <w:tcW w:type="dxa" w:w="2880"/>
          </w:tcPr>
          <w:p>
            <w:r>
              <w:t>Высокий</w:t>
            </w:r>
          </w:p>
        </w:tc>
      </w:tr>
      <w:tr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Упрощение заведения пользователей</w:t>
            </w:r>
          </w:p>
        </w:tc>
        <w:tc>
          <w:tcPr>
            <w:tcW w:type="dxa" w:w="2880"/>
          </w:tcPr>
          <w:p>
            <w:r>
              <w:t>Нормальный</w:t>
            </w:r>
          </w:p>
        </w:tc>
      </w:tr>
    </w:tbl>
    <w:p>
      <w:r>
        <w:rPr>
          <w:b/>
        </w:rPr>
        <w:t>Прямая связь с волной 2 (§3) / решением по ESB (§2):</w:t>
      </w:r>
      <w:r>
        <w:t xml:space="preserve"> пункты «Обновление данных в RAG-ах через API» (высокий) и «Обновление информации о правах доступа... через таблицы/API» (высокий) — это ровно то, что нужно для расширения витрин/API в шине; без них расширение ESB даёт больше данных, но не даёт актуальности и динамических прав доступа. Это, вероятно, узкое место волны 2, а не только общий пункт бэклога платформы.</w:t>
      </w:r>
    </w:p>
    <w:p>
      <w:r>
        <w:t>---</w:t>
      </w:r>
    </w:p>
    <w:p>
      <w:pPr>
        <w:pStyle w:val="Heading2"/>
      </w:pPr>
      <w:r>
        <w:t>5. Список вопросов к заказчику (Д8)</w:t>
      </w:r>
    </w:p>
    <w:p>
      <w:pPr>
        <w:pStyle w:val="Heading3"/>
      </w:pPr>
      <w:r>
        <w:t>Волны проекта</w:t>
      </w:r>
    </w:p>
    <w:p>
      <w:r>
        <w:t>1. Волна 1 «РАГ-документы» — что именно имеется в виду: (а) новые типы документов сверх пилотных двух коллекций, (б) улучшение качества/покрытия уже загруженного, или (в) отдельная новая коллекция под конкретную задачу/подразделение?</w:t>
      </w:r>
    </w:p>
    <w:p>
      <w:r>
        <w:t>2. Волна 3 и далее — есть ли уже примерное направление (роли, новые источники, промышленная эксплуатация), или это открытый вопрос до завершения волны 2?</w:t>
      </w:r>
    </w:p>
    <w:p>
      <w:pPr>
        <w:pStyle w:val="Heading3"/>
      </w:pPr>
      <w:r>
        <w:t>Интеграция (ESB / КХД, волна 2)</w:t>
      </w:r>
    </w:p>
    <w:p>
      <w:r>
        <w:t>3. Какие конкретно витрины данных нужно добавить в ESB сверх текущего среза CRM (Bitrix24)? Список витрин с владельцами на стороне Д8.</w:t>
      </w:r>
    </w:p>
    <w:p>
      <w:r>
        <w:t>4. Какие конкретно API нужно открыть через шину — по каждому: система-источник, формат (REST/SOAP/др.), кто на стороне Д8 отвечает за контракт API.</w:t>
      </w:r>
    </w:p>
    <w:p>
      <w:r>
        <w:t>5. КХД — расширяется ли состав таблиц/витрин внутри самого хранилища, или его периметр остаётся как в пилоте?</w:t>
      </w:r>
    </w:p>
    <w:p>
      <w:pPr>
        <w:pStyle w:val="Heading3"/>
      </w:pPr>
      <w:r>
        <w:t>Права доступа и роли</w:t>
      </w:r>
    </w:p>
    <w:p>
      <w:r>
        <w:t>6. Реальная оргструктура для проекта: список подразделений/ролей с числом пользователей в каждой (не гипотетическая таблица из мастер-ТЗ, а факт) — нужна для карты волн 3+.</w:t>
      </w:r>
    </w:p>
    <w:p>
      <w:r>
        <w:t>7. Разграничение прав «compliance видит своё, менеджер — своих клиентов» (п. 3.2 мастер-ТЗ, помечено «опционально в v2») — обязательное требование для проекта или можно оставить на будущее?</w:t>
      </w:r>
    </w:p>
    <w:p>
      <w:r>
        <w:t>8. Права доступа сотрудников сейчас фиксированы по статичному списку политик. Для проекта это должно стать динамическим (через таблицы/API из системы-источника прав)? Если да — какая система является источником истины по правам (HR-система, Bitrix24, отдельный IAM)?</w:t>
      </w:r>
    </w:p>
    <w:p>
      <w:r>
        <w:t>9. Нужна ли мультидоменная авторизация (из реестра платформы, критичный приоритет) — сколько доменов/поддоменов у Д8 предполагается подключить?</w:t>
      </w:r>
    </w:p>
    <w:p>
      <w:pPr>
        <w:pStyle w:val="Heading3"/>
      </w:pPr>
      <w:r>
        <w:t>Источники данных вне пилотных трёх</w:t>
      </w:r>
    </w:p>
    <w:p>
      <w:r>
        <w:t>10. Email, Word/PDF-регламенты, Confluence из мастер-ТЗ (§1.2) — они не входили в пилот. Подтверждается ли, что они НЕ входят и в проект (за вычетом того, что может решиться толкованием волны 1(а)), или это отдельный вопрос, который ещё предстоит решить?</w:t>
      </w:r>
    </w:p>
    <w:p>
      <w:r>
        <w:t>11. Email в мастер-ТЗ помечен Must Have, но тест-кейсы (TC-EMAIL) отсутствовали уже в пилоте — снимается ли это требование в проекте или переносится?</w:t>
      </w:r>
    </w:p>
    <w:p>
      <w:pPr>
        <w:pStyle w:val="Heading3"/>
      </w:pPr>
      <w:r>
        <w:t>Платформенные возможности (из реестра §4)</w:t>
      </w:r>
    </w:p>
    <w:p>
      <w:r>
        <w:t>12. Актуализация RAG-баз через API (высокий приоритет в реестре) — это блокер для волны 2 или можно стартовать с ручным/пакетным обновлением?</w:t>
      </w:r>
    </w:p>
    <w:p>
      <w:r>
        <w:t>13. Персональные RAG-коллекции пользователей — нужны ли для проекта Д8, или это общий продуктовый пункт не по конкретному запросу заказчика?</w:t>
      </w:r>
    </w:p>
    <w:p>
      <w:r>
        <w:t>14. Работа с MS Office 365 — есть ли у Д8 контур O365 (SharePoint/Outlook/Teams), который нужно подключать, или пункт не относится к этому проекту?</w:t>
      </w:r>
    </w:p>
    <w:p>
      <w:r>
        <w:t>15. Поддержка актуальной версии API внешней модели (web search и т.п.) — есть ли у Д8 конкретный сценарий использования веб-поиска, который сейчас блокирован?</w:t>
      </w:r>
    </w:p>
    <w:p>
      <w:pPr>
        <w:pStyle w:val="Heading3"/>
      </w:pPr>
      <w:r>
        <w:t>Общее по проекту (Кейс 2 методики)</w:t>
      </w:r>
    </w:p>
    <w:p>
      <w:r>
        <w:t>16. Кто со стороны Д8 — новый владелец процесса на фазе П4 (промышленная эксплуатация)? Тот же технический контакт, что в пилоте, или отдельная выделенная роль/команда?</w:t>
      </w:r>
    </w:p>
    <w:p>
      <w:r>
        <w:t xml:space="preserve">17. Формальный критерий перехода в проект: пилот по </w:t>
      </w:r>
      <w:r>
        <w:rPr>
          <w:rFonts w:ascii="Consolas" w:hAnsi="Consolas"/>
          <w:sz w:val="20"/>
        </w:rPr>
        <w:t>case-21</w:t>
      </w:r>
      <w:r>
        <w:t xml:space="preserve"> не прошёл все пороги приёмки (Сценарий 6: 67,4%/70%, Сценарий 4: 87,5%/95%) — Д8 согласен двигаться дальше при текущем результате, или ждём отдельного дозакрытия этих двух пунктов до старта П1?</w:t>
      </w:r>
    </w:p>
    <w:p>
      <w:r>
        <w:t>---</w:t>
      </w:r>
    </w:p>
    <w:p>
      <w:pPr>
        <w:pStyle w:val="Heading2"/>
      </w:pPr>
      <w:r>
        <w:t>6. Наши предложения (не только вопросы — рабочая позиция по умолчанию)</w:t>
      </w:r>
    </w:p>
    <w:p>
      <w:r>
        <w:t>По части вопросов есть смысл не просто спрашивать, а предложить заказчику отправную позицию — легче поправить готовое предложение, чем отвечать на открытый вопрос с нуля.</w:t>
      </w:r>
    </w:p>
    <w:p>
      <w:r>
        <w:t xml:space="preserve">1. </w:t>
      </w:r>
      <w:r>
        <w:rPr>
          <w:b/>
        </w:rPr>
        <w:t>Волна 1 — закрыть коротким созвоном, не перепиской.</w:t>
      </w:r>
      <w:r>
        <w:t xml:space="preserve"> Как и с «RAG-компании» — три возможных толкования (§3) слишком разные по объёму работ, чтобы гадать. Предлагаем этот вопрос первым, до отправки остального списка.</w:t>
      </w:r>
    </w:p>
    <w:p>
      <w:r>
        <w:t xml:space="preserve">2. </w:t>
      </w:r>
      <w:r>
        <w:rPr>
          <w:b/>
        </w:rPr>
        <w:t>Решение по ESB/КХД (волна 2) зафиксировать письменно как есть — расширение, не сужение.</w:t>
      </w:r>
      <w:r>
        <w:t xml:space="preserve"> Предлагаем формулировку для проектного ТЗ: «Все 3 пилотных источника (КХД, ESB/CRM, MCP-сервер) остаются в проекте; ESB и КХД получают расширение (витрины/API), MCP-сервер — на пилотном уровне; «RAG-компании» исключён из скоупа как опечатка/дублирующее название». Источники вне пилотной тройки — отдельный, пока не решённый вопрос (вопрос 10), не путать с этим решением.</w:t>
      </w:r>
    </w:p>
    <w:p>
      <w:r>
        <w:t xml:space="preserve">3. </w:t>
      </w:r>
      <w:r>
        <w:rPr>
          <w:b/>
        </w:rPr>
        <w:t>Разграничение прав compliance/менеджер — предлагаем переквалифицировать из «опционально в v2» в обязательное для проекта.</w:t>
      </w:r>
      <w:r>
        <w:t xml:space="preserve"> Мастер-ТЗ пометил это как опциональное, но Д8 — брокер/инвестиционная компания, и доступ менеджера к чужим клиентам — это не UX-неудобство, а комплаенс-риск. Рекомендуем не спрашивать «нужно ли», а прямо предложить включить в обязательный скоуп и попросить заказчика подтвердить/отклонить, а не решать с нуля.</w:t>
      </w:r>
    </w:p>
    <w:p>
      <w:r>
        <w:t xml:space="preserve">4. </w:t>
      </w:r>
      <w:r>
        <w:rPr>
          <w:b/>
        </w:rPr>
        <w:t>Динамические права доступа и обновление RAG через API — не блокировать волну 2, но зафиксировать как gate для поздних волн.</w:t>
      </w:r>
      <w:r>
        <w:t xml:space="preserve"> Оба пункта сейчас в статусе «требует проработки» на стороне платформы (реестр §4), то есть ждать их полной готовности перед стартом волны 2 нецелесообразно. Предлагаем: волну 2 запускать на статичной модели прав (как в пилоте), но заложить в архитектуру совместимость с будущим переходом на API-модель — и явно зафиксировать, что волны с данными повышенной чувствительности (комплаенс, бэк-офис, кандидаты для волны 3+) не начинаются, пока оба пункта не готовы.</w:t>
      </w:r>
    </w:p>
    <w:p>
      <w:r>
        <w:t xml:space="preserve">5. </w:t>
      </w:r>
      <w:r>
        <w:rPr>
          <w:b/>
        </w:rPr>
        <w:t>Мультидоменная авторизация (критичный приоритет в реестре платформы) — предлагаем сначала оспорить применимость, а не сразу проектировать под неё.</w:t>
      </w:r>
      <w:r>
        <w:t xml:space="preserve"> Ни в одном документе базы нет признаков того, что Д8 — холдинг с несколькими доменами; известная оргструктура — одна компания. Прежде чем закладывать эту возможность в скоуп проекта, стоит явно спросить у заказчика, актуальна ли она для Д8 конкретно.</w:t>
      </w:r>
    </w:p>
    <w:p>
      <w:r>
        <w:t xml:space="preserve">6. </w:t>
      </w:r>
      <w:r>
        <w:rPr>
          <w:b/>
        </w:rPr>
        <w:t>Для волны 3+, если это роллаут по ролям — предлагаем порядок по умолчанию: фронт-офис → аналитики/портфельные управляющие → руководство → бэк-офис.</w:t>
      </w:r>
      <w:r>
        <w:t xml:space="preserve"> Обоснование: фронт-офис — единственная роль, реально протестированная в пилоте (тот же кейс D8-014), значит первая среди ролевых волн — наименьший технический риск. Бэк-офис — последним: самые чувствительные данные (сделки, документы), и именно туда упирается вопрос 8 (динамические права доступа).</w:t>
      </w:r>
    </w:p>
    <w:p>
      <w:r>
        <w:t xml:space="preserve">7. </w:t>
      </w:r>
      <w:r>
        <w:rPr>
          <w:b/>
        </w:rPr>
        <w:t>Критерий перехода (вопрос 17) — предлагаем не ждать дозакрытия сценариев 6 и 4.</w:t>
      </w:r>
      <w:r>
        <w:t xml:space="preserve"> По методике (§4.1 Кейса 2) переход не требует 100% pass. Предлагаем перенести оба открытых пункта в явный «список долга» бизнес-кейса П1 — с обязательством закрыть их в рамках волны 1 или 2, а не тихо забыть при переходе в проект.</w:t>
      </w:r>
    </w:p>
    <w:p>
      <w:r>
        <w:t xml:space="preserve">8. </w:t>
      </w:r>
      <w:r>
        <w:rPr>
          <w:b/>
        </w:rPr>
        <w:t>Реестр платформенных пунктов (§4) — предлагаем выделить в отдельный трек переговоров с вендором, не смешивать с вопросами к заказчику.</w:t>
      </w:r>
      <w:r>
        <w:t xml:space="preserve"> «Обновление данных в RAG через API» и «динамические права доступа» — это зависимости волны 2 от роадмапа вендора, а не то, что решает сам заказчик. Рекомендуем формализовать как два конкретных технических запроса вендору со сроками, по аналогии с </w:t>
      </w:r>
      <w:r>
        <w:rPr>
          <w:rFonts w:ascii="Consolas" w:hAnsi="Consolas"/>
          <w:sz w:val="20"/>
        </w:rPr>
        <w:t>case-11-voprosy-vendoru-roadmap.md</w:t>
      </w:r>
      <w:r>
        <w:t>.</w:t>
      </w:r>
    </w:p>
    <w:p>
      <w:r>
        <w:t>---</w:t>
      </w:r>
    </w:p>
    <w:p>
      <w:pPr>
        <w:pStyle w:val="Heading2"/>
      </w:pPr>
      <w:r>
        <w:t>См. также</w:t>
      </w:r>
    </w:p>
    <w:p>
      <w:r>
        <w:t>- [</w:t>
      </w:r>
      <w:r>
        <w:rPr>
          <w:rFonts w:ascii="Consolas" w:hAnsi="Consolas"/>
          <w:sz w:val="20"/>
        </w:rPr>
        <w:t>docs/metodika-vnedreniya.md</w:t>
      </w:r>
      <w:r>
        <w:t>](../metodika-vnedreniya.md) — методика, Кейс 2 (П1–П5).</w:t>
      </w:r>
    </w:p>
    <w:p>
      <w:r>
        <w:t>- [</w:t>
      </w:r>
      <w:r>
        <w:rPr>
          <w:rFonts w:ascii="Consolas" w:hAnsi="Consolas"/>
          <w:sz w:val="20"/>
        </w:rPr>
        <w:t>docs/analysis/case-03-pilot-tz-ai-guard.md</w:t>
      </w:r>
      <w:r>
        <w:t>](case-03-pilot-tz-ai-guard.md) — пилотное ТЗ, скоуп пилота и явные ограничения.</w:t>
      </w:r>
    </w:p>
    <w:p>
      <w:r>
        <w:t>- [</w:t>
      </w:r>
      <w:r>
        <w:rPr>
          <w:rFonts w:ascii="Consolas" w:hAnsi="Consolas"/>
          <w:sz w:val="20"/>
        </w:rPr>
        <w:t>docs/analysis/case-02-tz-deep-analysis-and-proposals.md</w:t>
      </w:r>
      <w:r>
        <w:t>](case-02-tz-deep-analysis-and-proposals.md) — разбор мастер-ТЗ, полный ландшафт источников/ролей.</w:t>
      </w:r>
    </w:p>
    <w:p>
      <w:r>
        <w:t>- [</w:t>
      </w:r>
      <w:r>
        <w:rPr>
          <w:rFonts w:ascii="Consolas" w:hAnsi="Consolas"/>
          <w:sz w:val="20"/>
        </w:rPr>
        <w:t>docs/analysis/case-21-pereotsenka-scenariev-6-i-4-po-kriteriyam-priemki.md</w:t>
      </w:r>
      <w:r>
        <w:t>](case-21-pereotsenka-scenariev-6-i-4-po-kriteriyam-priemki.md) — формальный статус приёмки пилота (вопрос 17).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