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Вопросы и ответы: пользователи, роли и настройки чата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АО «Инвестиционная компания Д8» — 17.08.2026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"/>
        <w:gridCol w:w="4200"/>
        <w:gridCol w:w="4640"/>
      </w:tblGrid>
      <w:tr>
        <w:trPr>
          <w:tblHeader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№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Вопрос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доступ для ИБ-шников с возможностью работать с настройками анонимизатора без возможности работать с прочими настройками, типа источников данных, лимитов и т.п.?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В Каталоге заводим как обычного пользователя (не администратора), а доступ в «Рабочее место ИБ» даём отдельно — через «Сотрудники ИБ» с ролью «Оператор ИБ» (для ограниченного доступа) или «Администратор ИБ» (для полного).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Чем отличаются роли ИБ Администратор и Оператор ИБ? В описании написано так: Роль* — выберите «Администратор» (второй вариант — «Оператор ИБ», более узкие права).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Оператор ИБ не может править пользователей ИБ и настройки безопасности. Администратор — может.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в админке перевести пользователя из категории "Пользователь" в "Админстраторы"?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Просто дать роль админа — зайти в Каталог и прописать пользователя в разделе «Админ».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Через какое-то время бездействия (?) в интерфейсе чата приложение переходит на URL https://app.local:8080/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Известная проблема —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Кстати, корп. цвета d8 в дизайне отвалились. Но это не страшно, оставьте в дефолтной раскраске.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Оставляем пока дефолтную раскраску.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настроить модель по умолчанию? В чате модель регулярно слетает на первую из списка.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Можно ли показать список базовых маскированных элементов?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но потребуются изменения в системе —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Как сделать так, чтобы переменная в протоколах была не [CUSTOM_6], а, например, [AGREEMENT_6]?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Через экран «Regex-паттерны» нельзя — тип токена там закрытый список (PERSON/PROJECT/COMPANY/PRODUCT/CUSTOM), свой префикс сейчас не вписать. Берём в реализацию.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Я правильно понимаю, что можно либо авторизовываться по ЛДАП, либо локально? Т.е. и так и так не работает?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Да, для входа в Каталог это именно либо/либо — один провайдер на всех.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Сейчас можно настроить авторизацию для 2-х доменов?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Обсуждали ещё на этапе пилота — это доработка, и не столько техническая, сколько методологическая (как сопоставлять роли и пользователей между доменами).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b/>
                <w:bCs/>
                <w:color w:val="14181F"/>
                <w:sz w:val="20"/>
                <w:szCs w:val="20"/>
              </w:rPr>
              <w:t xml:space="preserve">При выводе ответа в чате указывается время, в которое был отправлен пользователем запрос, а не время выдачи ответа. Поправьте.</w:t>
            </w:r>
          </w:p>
        </w:tc>
        <w:tc>
          <w:tcPr>
            <w:tcW w:type="dxa" w:w="464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На проверенном примере метка под запросом и метка под ответом совпали (13:42 и 13:42) при «Обдумывании» 29.7 с — формат времени показывает только часы:минуты, без секунд, поэтому 30-секундная разница могла просто попасть в одну и ту же минуту. Однозначно не доказывает и не опровергает баг — нужно перепроверить на примере, где генерация пересекает границу минуты.</w:t>
            </w:r>
          </w:p>
        </w:tc>
      </w:tr>
    </w:tbl>
    <w:p>
      <w:pPr>
        <w:pStyle w:val="Heading1"/>
        <w:spacing w:after="140" w:before="38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Взято в разработку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300"/>
        <w:gridCol w:w="2100"/>
      </w:tblGrid>
      <w:tr>
        <w:trPr>
          <w:tblHeader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Пункт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Статус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3B5BD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Срок выполнения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Редирект на app.local:8080 после бездействия в чате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Модель по умолчанию слетает на первую в списке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базовых маскируемых элементов (встроенных типов PII)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76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Кастомный префикс токена — [AGREEMENT_N] вместо [CUSTOM_N]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7791F"/>
                <w:sz w:val="19"/>
                <w:szCs w:val="19"/>
              </w:rPr>
              <w:t xml:space="preserve">Берём в реализацию</w:t>
            </w:r>
          </w:p>
        </w:tc>
        <w:tc>
          <w:tcPr>
            <w:tcW w:type="dxa" w:w="2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4F6FB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—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2026-08-19T10:44:19.787Z</dcterms:created>
  <dcterms:modified xsi:type="dcterms:W3CDTF">2026-08-19T10:44:19.804Z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