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2400"/>
        <w:ind/>
        <w:rPr/>
      </w:pPr>
      <w:r/>
      <w:r/>
    </w:p>
    <w:p>
      <w:pPr>
        <w:pBdr/>
        <w:spacing w:after="160"/>
        <w:ind/>
        <w:jc w:val="left"/>
        <w:rPr/>
      </w:pPr>
      <w:r>
        <w:rPr>
          <w:rFonts w:ascii="Calibri" w:hAnsi="Calibri" w:eastAsia="Calibri" w:cs="Calibri"/>
          <w:color w:val="5a6672"/>
          <w:sz w:val="26"/>
          <w:szCs w:val="26"/>
        </w:rPr>
        <w:t xml:space="preserve">Ответы на запрос</w:t>
      </w:r>
      <w:r/>
    </w:p>
    <w:p>
      <w:pPr>
        <w:pBdr>
          <w:bottom w:val="single" w:color="1b4b6b" w:sz="12" w:space="10"/>
        </w:pBdr>
        <w:spacing w:after="200"/>
        <w:ind/>
        <w:jc w:val="left"/>
        <w:rPr/>
      </w:pPr>
      <w:r>
        <w:rPr>
          <w:rFonts w:ascii="Calibri" w:hAnsi="Calibri" w:eastAsia="Calibri" w:cs="Calibri"/>
          <w:b/>
          <w:bCs/>
          <w:color w:val="1b4b6b"/>
          <w:sz w:val="44"/>
          <w:szCs w:val="44"/>
        </w:rPr>
        <w:t xml:space="preserve">Корпоративная платформа интеллектуальной аналитики</w:t>
      </w:r>
      <w:r/>
    </w:p>
    <w:p>
      <w:pPr>
        <w:pBdr/>
        <w:spacing w:after="1600"/>
        <w:ind/>
        <w:rPr/>
      </w:pPr>
      <w:r>
        <w:rPr>
          <w:rFonts w:ascii="Calibri" w:hAnsi="Calibri" w:eastAsia="Calibri" w:cs="Calibri"/>
          <w:color w:val="5a6672"/>
          <w:sz w:val="24"/>
          <w:szCs w:val="24"/>
        </w:rPr>
        <w:t xml:space="preserve">Архитектурные материалы, системные требования и сведения о защите данных</w:t>
      </w:r>
      <w:r/>
    </w:p>
    <w:p>
      <w:pPr>
        <w:pBdr/>
        <w:spacing w:after="100"/>
        <w:ind/>
        <w:rPr/>
      </w:pPr>
      <w:r>
        <w:rPr>
          <w:rFonts w:ascii="Calibri" w:hAnsi="Calibri" w:eastAsia="Calibri" w:cs="Calibri"/>
          <w:b/>
          <w:bCs/>
          <w:color w:val="1f2a37"/>
          <w:sz w:val="22"/>
          <w:szCs w:val="22"/>
        </w:rPr>
        <w:t xml:space="preserve">Состав документа</w:t>
      </w:r>
      <w:r/>
    </w:p>
    <w:p>
      <w:pPr>
        <w:pBdr/>
        <w:spacing w:after="120" w:line="276" w:lineRule="auto"/>
        <w:ind/>
        <w:rPr/>
      </w:pPr>
      <w:r>
        <w:t xml:space="preserve">Сопроводительное письмо</w:t>
      </w:r>
      <w:r/>
    </w:p>
    <w:p>
      <w:pPr>
        <w:pBdr/>
        <w:spacing w:after="120" w:line="276" w:lineRule="auto"/>
        <w:ind/>
        <w:rPr/>
      </w:pPr>
      <w:r>
        <w:t xml:space="preserve">Документ 1. Корпоративная платформа интеллектуальной аналитики — ответы на вопросы 1–6, системные требования, требования к подключаемой модели</w:t>
      </w:r>
      <w:r/>
    </w:p>
    <w:p>
      <w:pPr>
        <w:pBdr/>
        <w:spacing w:after="120" w:line="276" w:lineRule="auto"/>
        <w:ind/>
        <w:rPr/>
      </w:pPr>
      <w:r>
        <w:t xml:space="preserve">Документ 2. Компонент контроля обращений к языковым моделям — ответы на вопросы 1–7, полная схема маршрута данных</w:t>
      </w:r>
      <w:r/>
    </w:p>
    <w:p>
      <w:pPr>
        <w:pBdr/>
        <w:spacing w:before="1200"/>
        <w:ind/>
        <w:rPr/>
      </w:pPr>
      <w:r>
        <w:rPr>
          <w:rFonts w:ascii="Calibri" w:hAnsi="Calibri" w:eastAsia="Calibri" w:cs="Calibri"/>
          <w:color w:val="5a6672"/>
          <w:sz w:val="20"/>
          <w:szCs w:val="20"/>
        </w:rPr>
        <w:t xml:space="preserve">[организация] · [дата]</w: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720"/>
        <w:pBdr>
          <w:bottom w:val="single" w:color="c9d2da" w:sz="6" w:space="6"/>
        </w:pBdr>
        <w:spacing w:after="240" w:before="0"/>
        <w:ind/>
        <w:rPr/>
      </w:pPr>
      <w:r>
        <w:rPr>
          <w:rFonts w:ascii="Calibri" w:hAnsi="Calibri" w:eastAsia="Calibri" w:cs="Calibri"/>
          <w:b/>
          <w:bCs/>
          <w:color w:val="1b4b6b"/>
          <w:sz w:val="30"/>
          <w:szCs w:val="30"/>
        </w:rPr>
        <w:t xml:space="preserve">Сопроводительное письмо</w:t>
      </w:r>
      <w:r/>
    </w:p>
    <w:p>
      <w:pPr>
        <w:pBdr/>
        <w:spacing w:after="120" w:line="276" w:lineRule="auto"/>
        <w:ind/>
        <w:rPr/>
      </w:pPr>
      <w:r>
        <w:t xml:space="preserve">Уважаемые коллеги,</w:t>
      </w:r>
      <w:r/>
    </w:p>
    <w:p>
      <w:pPr>
        <w:pBdr/>
        <w:spacing w:after="120" w:line="276" w:lineRule="auto"/>
        <w:ind/>
        <w:rPr/>
      </w:pPr>
      <w:r>
        <w:t xml:space="preserve">направляем материалы в ответ на ваш запрос от [дата].</w:t>
      </w:r>
      <w:r/>
    </w:p>
    <w:p>
      <w:pPr>
        <w:pBdr/>
        <w:spacing w:after="120" w:line="276" w:lineRule="auto"/>
        <w:ind/>
        <w:rPr/>
      </w:pPr>
      <w:r>
        <w:rPr>
          <w:b/>
          <w:bCs/>
        </w:rPr>
        <w:t xml:space="preserve">О терминологии.</w:t>
      </w:r>
      <w:r>
        <w:t xml:space="preserve"> В вашем запросе использу</w:t>
      </w:r>
      <w:r>
        <w:rPr>
          <w:lang w:val="ru-RU"/>
        </w:rPr>
        <w:t xml:space="preserve">е</w:t>
      </w:r>
      <w:r>
        <w:t xml:space="preserve">тся обозначени</w:t>
      </w:r>
      <w:r>
        <w:rPr>
          <w:lang w:val="ru-RU"/>
        </w:rPr>
        <w:t xml:space="preserve">е</w:t>
      </w:r>
      <w:r>
        <w:t xml:space="preserve"> «AI Guard». В нашей документации это подсистема контроля обращений к языковым моделям. Далее по тексту испол</w:t>
      </w:r>
      <w:r>
        <w:t xml:space="preserve">ьзуется единое наименование «компонент контроля обращений». Это позволяет снять двусмысленность в шестом вопросе вашего перечня, который мы понимаем как вопрос о том, в каких случаях достаточно этого компонента, а в каких требуется полный контур платформы.</w:t>
      </w:r>
      <w:r/>
    </w:p>
    <w:p>
      <w:pPr>
        <w:pBdr/>
        <w:spacing w:after="120" w:line="276" w:lineRule="auto"/>
        <w:ind/>
        <w:rPr/>
      </w:pPr>
      <w:r>
        <w:rPr>
          <w:b/>
          <w:bCs/>
        </w:rPr>
        <w:t xml:space="preserve">Ключевое свойство решения.</w:t>
      </w:r>
      <w:r>
        <w:t xml:space="preserve"> Платформа проектировалась для эксплуатации в изолированном контуре. Все компоненты — обработка данных, каталог метаданных, индексация документов, в</w:t>
      </w:r>
      <w:r>
        <w:t xml:space="preserve">екторный поиск, механизмы разграничения доступа и обезличивания — размещаются в инфраструктуре организации и не требуют обращений во внешние сети. Дистрибутив передаётся офлайн, загрузка компонентов из внешних репозиториев в процессе работы не выполняется.</w:t>
      </w:r>
      <w:r/>
    </w:p>
    <w:p>
      <w:pPr>
        <w:pBdr/>
        <w:spacing w:after="120" w:line="276" w:lineRule="auto"/>
        <w:ind/>
        <w:rPr/>
      </w:pPr>
      <w:r>
        <w:t xml:space="preserve">Генеративная языковая модель в состав поставки не входит и подключается как внешний по отношению к платформе сервис. При использовани</w:t>
      </w:r>
      <w:r>
        <w:t xml:space="preserve">и модели, размещённой в инфраструктуре организации, исходящий трафик за пределы контура отсутствует полностью. При подключении внешнего сервиса модели обращения к нему проходят через единственную контролируемую точку выхода с принудительным обезличиванием.</w:t>
      </w:r>
      <w:r/>
    </w:p>
    <w:p>
      <w:pPr>
        <w:pBdr/>
        <w:spacing w:after="120" w:line="276" w:lineRule="auto"/>
        <w:ind/>
        <w:rPr/>
      </w:pPr>
      <w:r>
        <w:rPr>
          <w:b/>
          <w:bCs/>
        </w:rPr>
        <w:t xml:space="preserve">О соотношении компонента и платформы.</w:t>
      </w:r>
      <w:r>
        <w:t xml:space="preserve"> Компонент контроля обращений является обязательной частью платформы и отдельно не поставляется. Причина техническая, а не коммерческая: обезличивание опирается на аннотации полей, поступающие из каталога метаданных платформы. В отрыве</w:t>
      </w:r>
      <w:r>
        <w:t xml:space="preserve"> от каталога обезличивание вырождается в поиск по шаблонам и распознавание сущностей в тексте — механизм, который не знает структуры данных организации и даёт формальное покрытие вместо фактического. Подробное обоснование приведено в разделе 6 документа 1.</w:t>
      </w:r>
      <w:r/>
    </w:p>
    <w:p>
      <w:pPr>
        <w:pBdr/>
        <w:spacing w:after="120" w:line="276" w:lineRule="auto"/>
        <w:ind/>
        <w:rPr/>
      </w:pPr>
      <w:r>
        <w:t xml:space="preserve">Ввод в эксплуатацию при этом выполняется поэтапно. Первый этап — контур контроля обращений к моделям — обладает самостоятельным проверяемым результатом и не требует одновременного подключения всех источников данных.</w:t>
      </w:r>
      <w:r/>
    </w:p>
    <w:p>
      <w:pPr>
        <w:pBdr/>
        <w:spacing w:after="120" w:line="276" w:lineRule="auto"/>
        <w:ind/>
        <w:rPr/>
      </w:pPr>
      <w:r>
        <w:rPr>
          <w:b/>
          <w:bCs/>
        </w:rPr>
        <w:t xml:space="preserve">О достоверности приведённых сведений.</w:t>
      </w:r>
      <w:r>
        <w:t xml:space="preserve"> Материалы подготовлены по фактическому состоянию реализации. Функции, находящиеся в разработке, обозначены как относящиеся к дорожной </w:t>
      </w:r>
      <w:r>
        <w:t xml:space="preserve">карте с указанием планируемого срока. Мы сознательно не относим к реализованным возможности, подтверждаемые только проектной документацией: при последующей технической проверке расхождения обнаруживаются, и мы считаем корректным обозначить границу заранее.</w:t>
      </w:r>
      <w:r/>
    </w:p>
    <w:p>
      <w:pPr>
        <w:pBdr/>
        <w:spacing w:after="120" w:line="276" w:lineRule="auto"/>
        <w:ind/>
        <w:rPr/>
      </w:pPr>
      <w:r>
        <w:rPr>
          <w:b/>
          <w:bCs/>
        </w:rPr>
        <w:t xml:space="preserve">Приложения:</w:t>
      </w:r>
      <w:r/>
    </w:p>
    <w:p>
      <w:pPr>
        <w:pStyle w:val="727"/>
        <w:numPr>
          <w:ilvl w:val="0"/>
          <w:numId w:val="2"/>
        </w:numPr>
        <w:pBdr/>
        <w:spacing w:after="60" w:line="276" w:lineRule="auto"/>
        <w:ind/>
        <w:rPr/>
      </w:pPr>
      <w:r>
        <w:t xml:space="preserve">Документ 1. Корпоративная платформа интеллектуальной аналитики. Ответы на вопросы 1–6, системные требования, требования к подключаемой модели.</w:t>
      </w:r>
      <w:r/>
    </w:p>
    <w:p>
      <w:pPr>
        <w:pStyle w:val="727"/>
        <w:numPr>
          <w:ilvl w:val="0"/>
          <w:numId w:val="2"/>
        </w:numPr>
        <w:pBdr/>
        <w:spacing w:after="60" w:line="276" w:lineRule="auto"/>
        <w:ind/>
        <w:rPr/>
      </w:pPr>
      <w:r>
        <w:t xml:space="preserve">Документ 2. Компонент контроля обращений к языковым моделям в составе платформы. Ответы на вопросы 1–7, полная схема маршрута данных.</w:t>
      </w:r>
      <w:r/>
    </w:p>
    <w:p>
      <w:pPr>
        <w:pStyle w:val="727"/>
        <w:numPr>
          <w:ilvl w:val="0"/>
          <w:numId w:val="2"/>
        </w:numPr>
        <w:pBdr/>
        <w:spacing w:after="60" w:line="276" w:lineRule="auto"/>
        <w:ind/>
        <w:rPr/>
      </w:pPr>
      <w:r>
        <w:t xml:space="preserve">Схема маршрута данных и точек контроля.</w:t>
      </w:r>
      <w:r/>
    </w:p>
    <w:p>
      <w:pPr>
        <w:pBdr/>
        <w:spacing w:after="120" w:line="276" w:lineRule="auto"/>
        <w:ind/>
        <w:rPr/>
      </w:pPr>
      <w:r>
        <w:rPr>
          <w:b/>
          <w:bCs/>
        </w:rPr>
        <w:t xml:space="preserve">О пилотном проекте.</w:t>
      </w:r>
      <w:r>
        <w:t xml:space="preserve"> Возможность проведения пилота предусмотрена; типовая рамка приведена в разделе 7 документа 2. Коммерческие условия направляются отдельно по запросу.</w:t>
      </w:r>
      <w:r/>
    </w:p>
    <w:p>
      <w:pPr>
        <w:pBdr/>
        <w:spacing w:after="120" w:line="276" w:lineRule="auto"/>
        <w:ind/>
        <w:rPr/>
      </w:pPr>
      <w:r>
        <w:t xml:space="preserve">Готовы провести техническую сессию с вашими архитекторами и специалистами по информационной безопасности для детального разбора приведённых материалов.</w:t>
      </w:r>
      <w:r/>
    </w:p>
    <w:p>
      <w:pPr>
        <w:pBdr/>
        <w:spacing w:after="120" w:line="276" w:lineRule="auto"/>
        <w:ind/>
        <w:rPr/>
      </w:pPr>
      <w:r>
        <w:t xml:space="preserve">С уважением, [подпись]</w: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720"/>
        <w:pBdr>
          <w:bottom w:val="single" w:color="c9d2da" w:sz="6" w:space="6"/>
        </w:pBdr>
        <w:spacing w:after="240" w:before="0"/>
        <w:ind/>
        <w:rPr/>
      </w:pPr>
      <w:r>
        <w:rPr>
          <w:rFonts w:ascii="Calibri" w:hAnsi="Calibri" w:eastAsia="Calibri" w:cs="Calibri"/>
          <w:b/>
          <w:bCs/>
          <w:color w:val="1b4b6b"/>
          <w:sz w:val="30"/>
          <w:szCs w:val="30"/>
        </w:rPr>
        <w:t xml:space="preserve">Документ 1. Корпоративная платформа интеллектуальной аналитики</w:t>
      </w:r>
      <w:r/>
    </w:p>
    <w:p>
      <w:pPr>
        <w:pBdr/>
        <w:spacing w:after="120" w:line="276" w:lineRule="auto"/>
        <w:ind/>
        <w:rPr/>
      </w:pPr>
      <w:r>
        <w:t xml:space="preserve">Ответы на вопросы раздела «По корпоративной ИИ-платформе».</w:t>
      </w:r>
      <w:r/>
    </w:p>
    <w:p>
      <w:pPr>
        <w:pBdr/>
        <w:spacing w:after="120" w:line="276" w:lineRule="auto"/>
        <w:ind/>
        <w:rPr/>
      </w:pPr>
      <w:r>
        <w:rPr>
          <w:b/>
          <w:bCs/>
        </w:rPr>
        <w:t xml:space="preserve">Условные обозначения статусов</w:t>
      </w:r>
      <w:r/>
    </w:p>
    <w:tbl>
      <w:tblPr>
        <w:tblW w:w="9026" w:type="dxa"/>
        <w:tblBorders>
          <w:top w:val="single" w:color="c9d2da" w:sz="4" w:space="0"/>
          <w:left w:val="single" w:color="c9d2da" w:sz="4" w:space="0"/>
          <w:bottom w:val="single" w:color="c9d2da" w:sz="4" w:space="0"/>
          <w:right w:val="single" w:color="c9d2da" w:sz="4" w:space="0"/>
          <w:insideH w:val="single" w:color="c9d2da" w:sz="4" w:space="0"/>
          <w:insideV w:val="single" w:color="c9d2da" w:sz="4" w:space="0"/>
        </w:tblBorders>
        <w:tblLook w:val="04A0" w:firstRow="1" w:lastRow="0" w:firstColumn="1" w:lastColumn="0" w:noHBand="0" w:noVBand="1"/>
      </w:tblPr>
      <w:tblGrid>
        <w:gridCol w:w="4513"/>
        <w:gridCol w:w="4513"/>
      </w:tblGrid>
      <w:tr>
        <w:trPr>
          <w:tblHeader/>
        </w:trPr>
        <w:tc>
          <w:tcPr>
            <w:shd w:val="clear" w:color="auto" w:fill="edf1f4"/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4513" w:type="dxa"/>
            <w:textDirection w:val="lrTb"/>
            <w:noWrap w:val="false"/>
          </w:tcPr>
          <w:p>
            <w:pPr>
              <w:pBdr/>
              <w:spacing w:after="0" w:line="260" w:lineRule="auto"/>
              <w:ind/>
              <w:rPr/>
            </w:pPr>
            <w:r>
              <w:rPr>
                <w:b/>
                <w:bCs/>
                <w:sz w:val="19"/>
                <w:szCs w:val="19"/>
              </w:rPr>
              <w:t xml:space="preserve">Обозначение</w:t>
            </w:r>
            <w:r/>
          </w:p>
        </w:tc>
        <w:tc>
          <w:tcPr>
            <w:shd w:val="clear" w:color="auto" w:fill="edf1f4"/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4513" w:type="dxa"/>
            <w:textDirection w:val="lrTb"/>
            <w:noWrap w:val="false"/>
          </w:tcPr>
          <w:p>
            <w:pPr>
              <w:pBdr/>
              <w:spacing w:after="0" w:line="260" w:lineRule="auto"/>
              <w:ind/>
              <w:rPr/>
            </w:pPr>
            <w:r>
              <w:rPr>
                <w:b/>
                <w:bCs/>
                <w:sz w:val="19"/>
                <w:szCs w:val="19"/>
              </w:rPr>
              <w:t xml:space="preserve">Значение</w:t>
            </w:r>
            <w:r/>
          </w:p>
        </w:tc>
      </w:tr>
      <w:tr>
        <w:trPr/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4513" w:type="dxa"/>
            <w:textDirection w:val="lrTb"/>
            <w:noWrap w:val="false"/>
          </w:tcPr>
          <w:p>
            <w:pPr>
              <w:pBdr/>
              <w:spacing w:after="0" w:line="260" w:lineRule="auto"/>
              <w:ind/>
              <w:rPr/>
            </w:pPr>
            <w:r>
              <w:rPr>
                <w:b/>
                <w:bCs/>
                <w:sz w:val="19"/>
                <w:szCs w:val="19"/>
              </w:rPr>
              <w:t xml:space="preserve">Реализовано</w:t>
            </w:r>
            <w:r/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4513" w:type="dxa"/>
            <w:textDirection w:val="lrTb"/>
            <w:noWrap w:val="false"/>
          </w:tcPr>
          <w:p>
            <w:pPr>
              <w:pBdr/>
              <w:spacing w:after="0" w:line="260" w:lineRule="auto"/>
              <w:ind/>
              <w:rPr/>
            </w:pPr>
            <w:r>
              <w:rPr>
                <w:sz w:val="19"/>
                <w:szCs w:val="19"/>
              </w:rPr>
              <w:t xml:space="preserve">Функция работает в текущей версии</w:t>
            </w:r>
            <w:r/>
          </w:p>
        </w:tc>
      </w:tr>
      <w:tr>
        <w:trPr/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4513" w:type="dxa"/>
            <w:textDirection w:val="lrTb"/>
            <w:noWrap w:val="false"/>
          </w:tcPr>
          <w:p>
            <w:pPr>
              <w:pBdr/>
              <w:spacing w:after="0" w:line="260" w:lineRule="auto"/>
              <w:ind/>
              <w:rPr/>
            </w:pPr>
            <w:r>
              <w:rPr>
                <w:b/>
                <w:bCs/>
                <w:sz w:val="19"/>
                <w:szCs w:val="19"/>
              </w:rPr>
              <w:t xml:space="preserve">Настраивается</w:t>
            </w:r>
            <w:r/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4513" w:type="dxa"/>
            <w:textDirection w:val="lrTb"/>
            <w:noWrap w:val="false"/>
          </w:tcPr>
          <w:p>
            <w:pPr>
              <w:pBdr/>
              <w:spacing w:after="0" w:line="260" w:lineRule="auto"/>
              <w:ind/>
              <w:rPr/>
            </w:pPr>
            <w:r>
              <w:rPr>
                <w:sz w:val="19"/>
                <w:szCs w:val="19"/>
              </w:rPr>
              <w:t xml:space="preserve">Реализовано, состав определяется при внедрении</w:t>
            </w:r>
            <w:r/>
          </w:p>
        </w:tc>
      </w:tr>
      <w:tr>
        <w:trPr/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4513" w:type="dxa"/>
            <w:textDirection w:val="lrTb"/>
            <w:noWrap w:val="false"/>
          </w:tcPr>
          <w:p>
            <w:pPr>
              <w:pBdr/>
              <w:spacing w:after="0" w:line="260" w:lineRule="auto"/>
              <w:ind/>
              <w:rPr/>
            </w:pPr>
            <w:r>
              <w:rPr>
                <w:b/>
                <w:bCs/>
                <w:sz w:val="19"/>
                <w:szCs w:val="19"/>
              </w:rPr>
              <w:t xml:space="preserve">Дорожная карта</w:t>
            </w:r>
            <w:r/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4513" w:type="dxa"/>
            <w:textDirection w:val="lrTb"/>
            <w:noWrap w:val="false"/>
          </w:tcPr>
          <w:p>
            <w:pPr>
              <w:pBdr/>
              <w:spacing w:after="0" w:line="260" w:lineRule="auto"/>
              <w:ind/>
              <w:rPr/>
            </w:pPr>
            <w:r>
              <w:rPr>
                <w:sz w:val="19"/>
                <w:szCs w:val="19"/>
              </w:rPr>
              <w:t xml:space="preserve">В разработке, указан планируемый срок</w:t>
            </w:r>
            <w:r/>
          </w:p>
        </w:tc>
      </w:tr>
      <w:tr>
        <w:trPr/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4513" w:type="dxa"/>
            <w:textDirection w:val="lrTb"/>
            <w:noWrap w:val="false"/>
          </w:tcPr>
          <w:p>
            <w:pPr>
              <w:pBdr/>
              <w:spacing w:after="0" w:line="260" w:lineRule="auto"/>
              <w:ind/>
              <w:rPr/>
            </w:pPr>
            <w:r>
              <w:rPr>
                <w:b/>
                <w:bCs/>
                <w:sz w:val="19"/>
                <w:szCs w:val="19"/>
              </w:rPr>
              <w:t xml:space="preserve">Не поддерживается</w:t>
            </w:r>
            <w:r/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4513" w:type="dxa"/>
            <w:textDirection w:val="lrTb"/>
            <w:noWrap w:val="false"/>
          </w:tcPr>
          <w:p>
            <w:pPr>
              <w:pBdr/>
              <w:spacing w:after="0" w:line="260" w:lineRule="auto"/>
              <w:ind/>
              <w:rPr/>
            </w:pPr>
            <w:r>
              <w:rPr>
                <w:sz w:val="19"/>
                <w:szCs w:val="19"/>
              </w:rPr>
              <w:t xml:space="preserve">Отсутствует и не планируется в обозримом периоде</w:t>
            </w:r>
            <w:r/>
          </w:p>
        </w:tc>
      </w:tr>
    </w:tbl>
    <w:p>
      <w:pPr>
        <w:pBdr/>
        <w:spacing w:after="120"/>
        <w:ind/>
        <w:rPr/>
      </w:pPr>
      <w:r/>
      <w:r/>
    </w:p>
    <w:p>
      <w:pPr>
        <w:pStyle w:val="721"/>
        <w:pBdr>
          <w:bottom w:val="single" w:color="c9d2da" w:sz="6" w:space="6"/>
        </w:pBdr>
        <w:spacing w:after="140" w:before="320"/>
        <w:ind/>
        <w:rPr/>
      </w:pPr>
      <w:r>
        <w:rPr>
          <w:rFonts w:ascii="Calibri" w:hAnsi="Calibri" w:eastAsia="Calibri" w:cs="Calibri"/>
          <w:b/>
          <w:bCs/>
          <w:color w:val="1b4b6b"/>
          <w:sz w:val="24"/>
          <w:szCs w:val="24"/>
        </w:rPr>
        <w:t xml:space="preserve">1. Готовый продукт или целевая архитектура</w:t>
      </w:r>
      <w:r/>
    </w:p>
    <w:p>
      <w:pPr>
        <w:pBdr/>
        <w:spacing w:after="120" w:line="276" w:lineRule="auto"/>
        <w:ind/>
        <w:rPr/>
      </w:pPr>
      <w:r>
        <w:t xml:space="preserve">Поставка состоит из трёх слоёв, и корректный ответ различается по слоям.</w:t>
      </w:r>
      <w:r/>
    </w:p>
    <w:p>
      <w:pPr>
        <w:pBdr/>
        <w:spacing w:after="120" w:line="276" w:lineRule="auto"/>
        <w:ind/>
        <w:jc w:val="both"/>
        <w:rPr/>
      </w:pPr>
      <w:r>
        <w:rPr>
          <w:b/>
          <w:bCs/>
        </w:rPr>
        <w:t xml:space="preserve">Продуктовое ядро — готовый продукт.</w:t>
      </w:r>
      <w:r>
        <w:t xml:space="preserve"> Версионируемый дистрибутив, воспроизводимая процедура установки, регламен</w:t>
      </w:r>
      <w:r>
        <w:t xml:space="preserve">т обновления. Компоненты ядра: подсистема контроля обращений, каталог метаданных, подсистема оркестрации конвейеров данных, подсистема индексации и поиска по документам, агентная подсистема, пользовательский интерфейс. Ядро не переписывается под заказчика.</w:t>
      </w:r>
      <w:r/>
    </w:p>
    <w:p>
      <w:pPr>
        <w:pBdr/>
        <w:spacing w:after="120" w:line="276" w:lineRule="auto"/>
        <w:ind/>
        <w:jc w:val="both"/>
        <w:rPr/>
      </w:pPr>
      <w:r>
        <w:rPr>
          <w:b/>
          <w:bCs/>
        </w:rPr>
        <w:t xml:space="preserve">Конфигурация под контур — настраивается.</w:t>
      </w:r>
      <w:r>
        <w:t xml:space="preserve"> Параметры развёртывания, интеграция с каталогом учётных записей, сетевые политики, состав ролей, политики обезличивания, подключение языковой модели. Выполняется настройкой, без изменения кода.</w:t>
      </w:r>
      <w:r/>
    </w:p>
    <w:p>
      <w:pPr>
        <w:pBdr/>
        <w:spacing w:after="120" w:line="276" w:lineRule="auto"/>
        <w:ind/>
        <w:jc w:val="both"/>
        <w:rPr/>
      </w:pPr>
      <w:r>
        <w:rPr>
          <w:b/>
          <w:bCs/>
        </w:rPr>
        <w:t xml:space="preserve">Интеграционная обвязка — проектная часть.</w:t>
      </w:r>
      <w:r>
        <w:t xml:space="preserve"> Подключение конкретных источников данных заказчика, описание предметных областей в каталоге, наполнение корпуса документов, настройка правил разграничения доступа под организационную структуру. Объём определяется по результатам обследования.</w:t>
      </w:r>
      <w:r/>
    </w:p>
    <w:p>
      <w:pPr>
        <w:pBdr/>
        <w:spacing w:after="120" w:line="276" w:lineRule="auto"/>
        <w:ind/>
        <w:jc w:val="both"/>
        <w:rPr/>
      </w:pPr>
      <w:r>
        <w:t xml:space="preserve">Таким образом, платформа является тиражируемым продуктом с проектной частью внедрения. Мы считаем корректным обозначить эт</w:t>
      </w:r>
      <w:r>
        <w:t xml:space="preserve">о прямо: решение не является коробочным в смысле «установил и работает без настройки», и ни одно решение данного класса таковым не является, поскольку разграничение доступа к корпоративным данным по определению строится на структуре конкретной организации.</w:t>
      </w:r>
      <w:r/>
    </w:p>
    <w:p>
      <w:pPr>
        <w:pStyle w:val="721"/>
        <w:pBdr>
          <w:bottom w:val="single" w:color="c9d2da" w:sz="6" w:space="6"/>
        </w:pBdr>
        <w:spacing w:after="140" w:before="320"/>
        <w:ind/>
        <w:rPr/>
      </w:pPr>
      <w:r>
        <w:rPr>
          <w:rFonts w:ascii="Calibri" w:hAnsi="Calibri" w:eastAsia="Calibri" w:cs="Calibri"/>
          <w:b/>
          <w:bCs/>
          <w:color w:val="1b4b6b"/>
          <w:sz w:val="24"/>
          <w:szCs w:val="24"/>
        </w:rPr>
        <w:t xml:space="preserve">2. Входит ли компонент контроля обращений в состав платформы</w:t>
      </w:r>
      <w:r/>
    </w:p>
    <w:p>
      <w:pPr>
        <w:pBdr/>
        <w:spacing w:after="120" w:line="276" w:lineRule="auto"/>
        <w:ind/>
        <w:jc w:val="both"/>
        <w:rPr/>
      </w:pPr>
      <w:r>
        <w:rPr>
          <w:b/>
          <w:bCs/>
        </w:rPr>
        <w:t xml:space="preserve">Да, входит как обязательный компонент.</w:t>
      </w:r>
      <w:r>
        <w:t xml:space="preserve"> Отдельно не поставляется и не лицензируется дополнительно.</w:t>
      </w:r>
      <w:r/>
    </w:p>
    <w:p>
      <w:pPr>
        <w:pBdr/>
        <w:spacing w:after="120" w:line="276" w:lineRule="auto"/>
        <w:ind/>
        <w:jc w:val="both"/>
        <w:rPr/>
      </w:pPr>
      <w:r>
        <w:t xml:space="preserve">Все обращения к языковым моделям — из диалогового интерфейса, из агентных сценариев, из внешних инструментов — проходят через этот компонент. Схема обхода компонента внутри платформы отсутствует, это архитектурное свойство, а не настройка.</w:t>
      </w:r>
      <w:r/>
    </w:p>
    <w:p>
      <w:pPr>
        <w:pBdr/>
        <w:spacing w:after="120" w:line="276" w:lineRule="auto"/>
        <w:ind/>
        <w:rPr/>
      </w:pPr>
      <w:r>
        <w:t xml:space="preserve">Обоснование неотделимости приведено в разделе 6.</w:t>
      </w:r>
      <w:r/>
    </w:p>
    <w:p>
      <w:pPr>
        <w:pStyle w:val="721"/>
        <w:pBdr>
          <w:bottom w:val="single" w:color="c9d2da" w:sz="6" w:space="6"/>
        </w:pBdr>
        <w:spacing w:after="140" w:before="320"/>
        <w:ind/>
        <w:rPr/>
      </w:pPr>
      <w:r>
        <w:rPr>
          <w:rFonts w:ascii="Calibri" w:hAnsi="Calibri" w:eastAsia="Calibri" w:cs="Calibri"/>
          <w:b/>
          <w:bCs/>
          <w:color w:val="1b4b6b"/>
          <w:sz w:val="24"/>
          <w:szCs w:val="24"/>
        </w:rPr>
        <w:t xml:space="preserve">3. Поддерживаемые модели</w:t>
      </w:r>
      <w:r/>
    </w:p>
    <w:p>
      <w:pPr>
        <w:pBdr/>
        <w:spacing w:after="120" w:line="276" w:lineRule="auto"/>
        <w:ind/>
        <w:jc w:val="both"/>
        <w:rPr/>
      </w:pPr>
      <w:r>
        <w:t xml:space="preserve">Платформа не включает генеративную языковую модель и не привязана к конкретному поставщику. Модель подключается как внешний по отношению к платформе сервис.</w:t>
      </w:r>
      <w:r/>
    </w:p>
    <w:p>
      <w:pPr>
        <w:pBdr/>
        <w:spacing w:after="120" w:line="276" w:lineRule="auto"/>
        <w:ind/>
        <w:jc w:val="both"/>
        <w:rPr/>
      </w:pPr>
      <w:r>
        <w:rPr>
          <w:b/>
          <w:bCs/>
        </w:rPr>
        <w:t xml:space="preserve">Единственное обязательное требование — поддержка вызова инструментов</w:t>
      </w:r>
      <w:r>
        <w:t xml:space="preserve"> (</w:t>
      </w:r>
      <w:r>
        <w:rPr>
          <w:lang w:val="ru-RU"/>
        </w:rPr>
        <w:t xml:space="preserve">to</w:t>
      </w:r>
      <w:r>
        <w:rPr>
          <w:lang w:val="en-US"/>
        </w:rPr>
        <w:t xml:space="preserve">ol/</w:t>
      </w:r>
      <w:r>
        <w:t xml:space="preserve">function calling). Агентные сценарии реализованы через этот механизм. Модель без его поддержки ограничивает применение диалоговыми сценариями и поиском по документам.</w:t>
      </w:r>
      <w:r/>
    </w:p>
    <w:p>
      <w:pPr>
        <w:pBdr/>
        <w:spacing w:after="120" w:line="276" w:lineRule="auto"/>
        <w:ind/>
        <w:rPr/>
      </w:pPr>
      <w:r>
        <w:rPr>
          <w:b/>
          <w:bCs/>
        </w:rPr>
        <w:t xml:space="preserve">Работоспособность подтверждена:</w:t>
      </w:r>
      <w:r/>
    </w:p>
    <w:tbl>
      <w:tblPr>
        <w:tblW w:w="9026" w:type="dxa"/>
        <w:tblBorders>
          <w:top w:val="single" w:color="c9d2da" w:sz="4" w:space="0"/>
          <w:left w:val="single" w:color="c9d2da" w:sz="4" w:space="0"/>
          <w:bottom w:val="single" w:color="c9d2da" w:sz="4" w:space="0"/>
          <w:right w:val="single" w:color="c9d2da" w:sz="4" w:space="0"/>
          <w:insideH w:val="single" w:color="c9d2da" w:sz="4" w:space="0"/>
          <w:insideV w:val="single" w:color="c9d2da" w:sz="4" w:space="0"/>
        </w:tblBorders>
        <w:tblLook w:val="04A0" w:firstRow="1" w:lastRow="0" w:firstColumn="1" w:lastColumn="0" w:noHBand="0" w:noVBand="1"/>
      </w:tblPr>
      <w:tblGrid>
        <w:gridCol w:w="3008"/>
        <w:gridCol w:w="3008"/>
        <w:gridCol w:w="3010"/>
      </w:tblGrid>
      <w:tr>
        <w:trPr>
          <w:tblHeader/>
        </w:trPr>
        <w:tc>
          <w:tcPr>
            <w:shd w:val="clear" w:color="auto" w:fill="edf1f4"/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3008" w:type="dxa"/>
            <w:textDirection w:val="lrTb"/>
            <w:noWrap w:val="false"/>
          </w:tcPr>
          <w:p>
            <w:pPr>
              <w:pBdr/>
              <w:spacing w:after="0" w:line="260" w:lineRule="auto"/>
              <w:ind/>
              <w:rPr/>
            </w:pPr>
            <w:r>
              <w:rPr>
                <w:b/>
                <w:bCs/>
                <w:sz w:val="19"/>
                <w:szCs w:val="19"/>
              </w:rPr>
              <w:t xml:space="preserve">Модель</w:t>
            </w:r>
            <w:r/>
          </w:p>
        </w:tc>
        <w:tc>
          <w:tcPr>
            <w:shd w:val="clear" w:color="auto" w:fill="edf1f4"/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3008" w:type="dxa"/>
            <w:textDirection w:val="lrTb"/>
            <w:noWrap w:val="false"/>
          </w:tcPr>
          <w:p>
            <w:pPr>
              <w:pBdr/>
              <w:spacing w:after="0" w:line="260" w:lineRule="auto"/>
              <w:ind/>
              <w:rPr/>
            </w:pPr>
            <w:r>
              <w:rPr>
                <w:b/>
                <w:bCs/>
                <w:sz w:val="19"/>
                <w:szCs w:val="19"/>
              </w:rPr>
              <w:t xml:space="preserve">Размещение</w:t>
            </w:r>
            <w:r/>
          </w:p>
        </w:tc>
        <w:tc>
          <w:tcPr>
            <w:shd w:val="clear" w:color="auto" w:fill="edf1f4"/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3010" w:type="dxa"/>
            <w:textDirection w:val="lrTb"/>
            <w:noWrap w:val="false"/>
          </w:tcPr>
          <w:p>
            <w:pPr>
              <w:pBdr/>
              <w:spacing w:after="0" w:line="260" w:lineRule="auto"/>
              <w:ind/>
              <w:rPr/>
            </w:pPr>
            <w:r>
              <w:rPr>
                <w:b/>
                <w:bCs/>
                <w:sz w:val="19"/>
                <w:szCs w:val="19"/>
              </w:rPr>
              <w:t xml:space="preserve">Статус</w:t>
            </w:r>
            <w:r/>
          </w:p>
        </w:tc>
      </w:tr>
      <w:tr>
        <w:trPr/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3008" w:type="dxa"/>
            <w:textDirection w:val="lrTb"/>
            <w:noWrap w:val="false"/>
          </w:tcPr>
          <w:p>
            <w:pPr>
              <w:pBdr/>
              <w:spacing w:after="0" w:line="260" w:lineRule="auto"/>
              <w:ind/>
              <w:rPr/>
            </w:pPr>
            <w:r>
              <w:rPr>
                <w:sz w:val="19"/>
                <w:szCs w:val="19"/>
              </w:rPr>
              <w:t xml:space="preserve">GigaChat</w:t>
            </w:r>
            <w:r/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3008" w:type="dxa"/>
            <w:textDirection w:val="lrTb"/>
            <w:noWrap w:val="false"/>
          </w:tcPr>
          <w:p>
            <w:pPr>
              <w:pBdr/>
              <w:spacing w:after="0" w:line="260" w:lineRule="auto"/>
              <w:ind/>
              <w:rPr/>
            </w:pPr>
            <w:r>
              <w:rPr>
                <w:sz w:val="19"/>
                <w:szCs w:val="19"/>
              </w:rPr>
              <w:t xml:space="preserve">Облачный сервис / поставка в контур организации</w:t>
            </w:r>
            <w:r/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3010" w:type="dxa"/>
            <w:textDirection w:val="lrTb"/>
            <w:noWrap w:val="false"/>
          </w:tcPr>
          <w:p>
            <w:pPr>
              <w:pBdr/>
              <w:spacing w:after="0" w:line="260" w:lineRule="auto"/>
              <w:ind/>
              <w:rPr/>
            </w:pPr>
            <w:r>
              <w:rPr>
                <w:sz w:val="19"/>
                <w:szCs w:val="19"/>
              </w:rPr>
              <w:t xml:space="preserve">Реализовано</w:t>
            </w:r>
            <w:r/>
          </w:p>
        </w:tc>
      </w:tr>
      <w:tr>
        <w:trPr/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3008" w:type="dxa"/>
            <w:textDirection w:val="lrTb"/>
            <w:noWrap w:val="false"/>
          </w:tcPr>
          <w:p>
            <w:pPr>
              <w:pBdr/>
              <w:spacing w:after="0" w:line="260" w:lineRule="auto"/>
              <w:ind/>
              <w:rPr/>
            </w:pPr>
            <w:r>
              <w:rPr>
                <w:sz w:val="19"/>
                <w:szCs w:val="19"/>
              </w:rPr>
              <w:t xml:space="preserve">Qwen</w:t>
            </w:r>
            <w:r/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3008" w:type="dxa"/>
            <w:textDirection w:val="lrTb"/>
            <w:noWrap w:val="false"/>
          </w:tcPr>
          <w:p>
            <w:pPr>
              <w:pBdr/>
              <w:spacing w:after="0" w:line="260" w:lineRule="auto"/>
              <w:ind/>
              <w:rPr/>
            </w:pPr>
            <w:r>
              <w:rPr>
                <w:sz w:val="19"/>
                <w:szCs w:val="19"/>
              </w:rPr>
              <w:t xml:space="preserve">Локальное размещение в инфраструктуре организации</w:t>
            </w:r>
            <w:r/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3010" w:type="dxa"/>
            <w:textDirection w:val="lrTb"/>
            <w:noWrap w:val="false"/>
          </w:tcPr>
          <w:p>
            <w:pPr>
              <w:pBdr/>
              <w:spacing w:after="0" w:line="260" w:lineRule="auto"/>
              <w:ind/>
              <w:rPr/>
            </w:pPr>
            <w:r>
              <w:rPr>
                <w:sz w:val="19"/>
                <w:szCs w:val="19"/>
              </w:rPr>
              <w:t xml:space="preserve">Реализовано</w:t>
            </w:r>
            <w:r/>
          </w:p>
        </w:tc>
      </w:tr>
      <w:tr>
        <w:trPr/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3008" w:type="dxa"/>
            <w:textDirection w:val="lrTb"/>
            <w:noWrap w:val="false"/>
          </w:tcPr>
          <w:p>
            <w:pPr>
              <w:pBdr/>
              <w:spacing w:after="0" w:line="260" w:lineRule="auto"/>
              <w:ind/>
              <w:rPr/>
            </w:pPr>
            <w:r>
              <w:rPr>
                <w:sz w:val="19"/>
                <w:szCs w:val="19"/>
              </w:rPr>
              <w:t xml:space="preserve">OpenAI</w:t>
            </w:r>
            <w:r/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3008" w:type="dxa"/>
            <w:textDirection w:val="lrTb"/>
            <w:noWrap w:val="false"/>
          </w:tcPr>
          <w:p>
            <w:pPr>
              <w:pBdr/>
              <w:spacing w:after="0" w:line="260" w:lineRule="auto"/>
              <w:ind/>
              <w:rPr/>
            </w:pPr>
            <w:r>
              <w:rPr>
                <w:sz w:val="19"/>
                <w:szCs w:val="19"/>
              </w:rPr>
              <w:t xml:space="preserve">Внешний сервис</w:t>
            </w:r>
            <w:r/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3010" w:type="dxa"/>
            <w:textDirection w:val="lrTb"/>
            <w:noWrap w:val="false"/>
          </w:tcPr>
          <w:p>
            <w:pPr>
              <w:pBdr/>
              <w:spacing w:after="0" w:line="260" w:lineRule="auto"/>
              <w:ind/>
              <w:rPr/>
            </w:pPr>
            <w:r>
              <w:rPr>
                <w:sz w:val="19"/>
                <w:szCs w:val="19"/>
              </w:rPr>
              <w:t xml:space="preserve">Реализовано</w:t>
            </w:r>
            <w:r/>
          </w:p>
        </w:tc>
      </w:tr>
      <w:tr>
        <w:trPr/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3008" w:type="dxa"/>
            <w:textDirection w:val="lrTb"/>
            <w:noWrap w:val="false"/>
          </w:tcPr>
          <w:p>
            <w:pPr>
              <w:pBdr/>
              <w:spacing w:after="0" w:line="260" w:lineRule="auto"/>
              <w:ind/>
              <w:rPr/>
            </w:pPr>
            <w:r>
              <w:rPr>
                <w:sz w:val="19"/>
                <w:szCs w:val="19"/>
              </w:rPr>
              <w:t xml:space="preserve">Anthropic</w:t>
            </w:r>
            <w:r/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3008" w:type="dxa"/>
            <w:textDirection w:val="lrTb"/>
            <w:noWrap w:val="false"/>
          </w:tcPr>
          <w:p>
            <w:pPr>
              <w:pBdr/>
              <w:spacing w:after="0" w:line="260" w:lineRule="auto"/>
              <w:ind/>
              <w:rPr/>
            </w:pPr>
            <w:r>
              <w:rPr>
                <w:sz w:val="19"/>
                <w:szCs w:val="19"/>
              </w:rPr>
              <w:t xml:space="preserve">Внешний сервис</w:t>
            </w:r>
            <w:r/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3010" w:type="dxa"/>
            <w:textDirection w:val="lrTb"/>
            <w:noWrap w:val="false"/>
          </w:tcPr>
          <w:p>
            <w:pPr>
              <w:pBdr/>
              <w:spacing w:after="0" w:line="260" w:lineRule="auto"/>
              <w:ind/>
              <w:rPr/>
            </w:pPr>
            <w:r>
              <w:rPr>
                <w:sz w:val="19"/>
                <w:szCs w:val="19"/>
              </w:rPr>
              <w:t xml:space="preserve">Реализовано</w:t>
            </w:r>
            <w:r/>
          </w:p>
        </w:tc>
      </w:tr>
      <w:tr>
        <w:trPr/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3008" w:type="dxa"/>
            <w:textDirection w:val="lrTb"/>
            <w:noWrap w:val="false"/>
          </w:tcPr>
          <w:p>
            <w:pPr>
              <w:pBdr/>
              <w:spacing w:after="0" w:line="260" w:lineRule="auto"/>
              <w:ind/>
              <w:rPr/>
            </w:pPr>
            <w:r>
              <w:rPr>
                <w:sz w:val="19"/>
                <w:szCs w:val="19"/>
              </w:rPr>
              <w:t xml:space="preserve">YandexGPT</w:t>
            </w:r>
            <w:r/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3008" w:type="dxa"/>
            <w:textDirection w:val="lrTb"/>
            <w:noWrap w:val="false"/>
          </w:tcPr>
          <w:p>
            <w:pPr>
              <w:pBdr/>
              <w:spacing w:after="0" w:line="260" w:lineRule="auto"/>
              <w:ind/>
              <w:rPr/>
            </w:pPr>
            <w:r>
              <w:rPr>
                <w:sz w:val="19"/>
                <w:szCs w:val="19"/>
              </w:rPr>
              <w:t xml:space="preserve">Облачный сервис</w:t>
            </w:r>
            <w:r/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3010" w:type="dxa"/>
            <w:textDirection w:val="lrTb"/>
            <w:noWrap w:val="false"/>
          </w:tcPr>
          <w:p>
            <w:pPr>
              <w:pBdr/>
              <w:spacing w:after="0" w:line="260" w:lineRule="auto"/>
              <w:ind/>
              <w:rPr/>
            </w:pPr>
            <w:r>
              <w:rPr>
                <w:sz w:val="19"/>
                <w:szCs w:val="19"/>
              </w:rPr>
              <w:t xml:space="preserve">Реализовано</w:t>
            </w:r>
            <w:r/>
          </w:p>
        </w:tc>
      </w:tr>
    </w:tbl>
    <w:p>
      <w:pPr>
        <w:pBdr/>
        <w:spacing w:after="120"/>
        <w:ind/>
        <w:rPr/>
      </w:pPr>
      <w:r/>
      <w:r/>
    </w:p>
    <w:p>
      <w:pPr>
        <w:pBdr/>
        <w:spacing w:after="120" w:line="276" w:lineRule="auto"/>
        <w:ind/>
        <w:jc w:val="both"/>
        <w:rPr/>
      </w:pPr>
      <w:r>
        <w:rPr>
          <w:b/>
          <w:bCs/>
        </w:rPr>
        <w:t xml:space="preserve">DeepSeek и иные модели</w:t>
      </w:r>
      <w:r>
        <w:t xml:space="preserve"> подключаются через интерфейс, совместимый с OpenAI Chat Completions, указанием адреса сервиса. Отдельной специализированной реализации под DeepSeek не требуется. Работоспособность конкретной модели проверяется в рамках пилота.</w:t>
      </w:r>
      <w:r/>
    </w:p>
    <w:p>
      <w:pPr>
        <w:pBdr/>
        <w:spacing w:after="120" w:line="276" w:lineRule="auto"/>
        <w:ind/>
        <w:jc w:val="both"/>
        <w:rPr/>
      </w:pPr>
      <w:r>
        <w:rPr>
          <w:b/>
          <w:bCs/>
        </w:rPr>
        <w:t xml:space="preserve">Локальные модели.</w:t>
      </w:r>
      <w:r>
        <w:t xml:space="preserve"> Поддерживается подключение любой </w:t>
      </w:r>
      <w:r>
        <w:t xml:space="preserve">модели, размещённой в инфраструктуре организации и предоставляющей совместимый интерфейс. Обслуживание такой модели (vLLM, SGLang, Ollama или иное) находится вне периметра платформы и относится к зоне ответственности организации либо поставляется отдельно.</w:t>
      </w:r>
      <w:r/>
    </w:p>
    <w:p>
      <w:pPr>
        <w:pBdr/>
        <w:spacing w:after="120" w:line="276" w:lineRule="auto"/>
        <w:ind/>
        <w:jc w:val="both"/>
        <w:rPr/>
      </w:pPr>
      <w:r>
        <w:rPr>
          <w:b/>
          <w:bCs/>
        </w:rPr>
        <w:t xml:space="preserve">Векторизация выполняется локально.</w:t>
      </w:r>
      <w:r>
        <w:t xml:space="preserve"> М</w:t>
      </w:r>
      <w:r>
        <w:t xml:space="preserve">одели построения векторных представлений (bge-m3, jina-code) входят в поставку и </w:t>
      </w:r>
      <w:r>
        <w:rPr>
          <w:lang w:val="ru-RU"/>
        </w:rPr>
        <w:t xml:space="preserve">могут </w:t>
      </w:r>
      <w:r>
        <w:t xml:space="preserve">работа</w:t>
      </w:r>
      <w:r>
        <w:rPr>
          <w:lang w:val="ru-RU"/>
        </w:rPr>
        <w:t xml:space="preserve">ть</w:t>
      </w:r>
      <w:r>
        <w:t xml:space="preserve"> на процессорных ресурсах, без графических ускорителей. Корпус документов при индексации не покидает контур и не передаётся во внешние сервисы ни при каких настройках.</w:t>
      </w:r>
      <w:r/>
    </w:p>
    <w:p>
      <w:pPr>
        <w:pBdr/>
        <w:spacing w:after="120" w:line="276" w:lineRule="auto"/>
        <w:ind/>
        <w:jc w:val="both"/>
        <w:rPr/>
      </w:pPr>
      <w:r>
        <w:rPr>
          <w:b/>
          <w:bCs/>
        </w:rPr>
        <w:t xml:space="preserve">Разграничение ответственности за качество.</w:t>
      </w:r>
      <w:r>
        <w:t xml:space="preserve"> Полнота и точность ответов определяются возможностями подключённой модели. Платформа отвечает за пра</w:t>
      </w:r>
      <w:r>
        <w:t xml:space="preserve">вомерность доступа к данным, корректность извлечения и передачи контекста, применение политик обезличивания и полноту журналирования. При использовании модели, предоставляемой организацией, показатели качества согласуются по результатам проверки на пилоте.</w:t>
      </w:r>
      <w:r/>
    </w:p>
    <w:p>
      <w:pPr>
        <w:pStyle w:val="721"/>
        <w:pBdr>
          <w:bottom w:val="single" w:color="c9d2da" w:sz="6" w:space="6"/>
        </w:pBdr>
        <w:spacing w:after="140" w:before="320"/>
        <w:ind/>
        <w:rPr/>
      </w:pPr>
      <w:r>
        <w:rPr>
          <w:rFonts w:ascii="Calibri" w:hAnsi="Calibri" w:eastAsia="Calibri" w:cs="Calibri"/>
          <w:b/>
          <w:bCs/>
          <w:color w:val="1b4b6b"/>
          <w:sz w:val="24"/>
          <w:szCs w:val="24"/>
        </w:rPr>
        <w:t xml:space="preserve">4. Функциональный состав</w:t>
      </w:r>
      <w:r/>
    </w:p>
    <w:p>
      <w:pPr>
        <w:pStyle w:val="722"/>
        <w:pBdr/>
        <w:spacing w:after="100" w:before="240"/>
        <w:ind/>
        <w:rPr/>
      </w:pPr>
      <w:r>
        <w:rPr>
          <w:rFonts w:ascii="Calibri" w:hAnsi="Calibri" w:eastAsia="Calibri" w:cs="Calibri"/>
          <w:b/>
          <w:bCs/>
          <w:color w:val="1f2a37"/>
          <w:sz w:val="21"/>
          <w:szCs w:val="21"/>
        </w:rPr>
        <w:t xml:space="preserve">4.1 Поиск по документам и генерация ответов на их основе (RAG)</w:t>
      </w:r>
      <w:r/>
    </w:p>
    <w:p>
      <w:pPr>
        <w:pBdr/>
        <w:spacing w:after="120" w:line="276" w:lineRule="auto"/>
        <w:ind/>
        <w:jc w:val="both"/>
        <w:rPr/>
      </w:pPr>
      <w:r>
        <w:rPr>
          <w:b/>
          <w:bCs/>
        </w:rPr>
        <w:t xml:space="preserve">Реализовано.</w:t>
      </w:r>
      <w:r>
        <w:t xml:space="preserve"> Индексация корпуса документов, гибридный поиск (векторный и лексический), формирование ответа с указанием документов-источников.</w:t>
      </w:r>
      <w:r/>
    </w:p>
    <w:p>
      <w:pPr>
        <w:pBdr/>
        <w:spacing w:after="120" w:line="276" w:lineRule="auto"/>
        <w:ind/>
        <w:jc w:val="both"/>
        <w:rPr/>
      </w:pPr>
      <w:r>
        <w:t xml:space="preserve">Поддерживаемые форматы: PDF, DOCX, DOC, TXT, MD, а также табличные данные — CSV, XLSX, JSON, XML.</w:t>
      </w:r>
      <w:r/>
    </w:p>
    <w:p>
      <w:pPr>
        <w:pBdr/>
        <w:spacing w:after="120" w:line="276" w:lineRule="auto"/>
        <w:ind/>
        <w:jc w:val="both"/>
        <w:rPr/>
      </w:pPr>
      <w:r>
        <w:rPr>
          <w:b/>
          <w:bCs/>
        </w:rPr>
        <w:t xml:space="preserve">Ограничение, которое мы считаем нужным обозначить.</w:t>
      </w:r>
      <w:r>
        <w:t xml:space="preserve"> Распознавание текста на отсканированных изображениях (OCR) в составе платформы отсутствует. Документы, представляющие собой изображения без текстового слоя, обрабатываются тол</w:t>
      </w:r>
      <w:r>
        <w:t xml:space="preserve">ько при подключении мультимодальной модели, формирующей текстовое описание страницы; без неё такие документы помечаются как необработанные и в индекс не попадают. Если в корпусе организации значительна доля сканов, этот вопрос требует отдельной проработки.</w:t>
      </w:r>
      <w:r/>
    </w:p>
    <w:p>
      <w:pPr>
        <w:pBdr/>
        <w:spacing w:after="120" w:line="276" w:lineRule="auto"/>
        <w:ind/>
        <w:rPr/>
      </w:pPr>
      <w:r>
        <w:t xml:space="preserve">Ограничение на размер загружаемого файла — 50 МБ, настраивается.</w:t>
      </w:r>
      <w:r/>
    </w:p>
    <w:p>
      <w:pPr>
        <w:pBdr/>
        <w:spacing w:after="120" w:line="276" w:lineRule="auto"/>
        <w:ind/>
        <w:jc w:val="both"/>
        <w:rPr/>
      </w:pPr>
      <w:r>
        <w:t xml:space="preserve">Скорость индексации</w:t>
      </w:r>
      <w:r>
        <w:rPr>
          <w:lang w:val="ru-RU"/>
        </w:rPr>
        <w:t xml:space="preserve"> зависит от наличия</w:t>
      </w:r>
      <w:r>
        <w:rPr>
          <w:lang w:val="ru-RU"/>
        </w:rPr>
        <w:t xml:space="preserve"> </w:t>
      </w:r>
      <w:r>
        <w:rPr>
          <w:lang w:val="en-US"/>
        </w:rPr>
        <w:t xml:space="preserve">GPU </w:t>
      </w:r>
      <w:r>
        <w:rPr>
          <w:lang w:val="ru-RU"/>
        </w:rPr>
        <w:t xml:space="preserve">в контуре эмбеддинга и размеров документов индексируемого корпуса</w:t>
      </w:r>
      <w:r>
        <w:t xml:space="preserve">.</w:t>
      </w:r>
      <w:r>
        <w:rPr>
          <w:lang w:val="ru-RU"/>
        </w:rPr>
        <w:t xml:space="preserve"> Средняя скорость от 2 до 50 секунд на документ.</w:t>
      </w:r>
      <w:r>
        <w:t xml:space="preserve"> Первичная индексация корпуса выполняется однократно в пакетном режиме, последующее обновление обрабатывает только изменившиеся документы.</w:t>
      </w:r>
      <w:r/>
    </w:p>
    <w:p>
      <w:pPr>
        <w:pStyle w:val="722"/>
        <w:pBdr/>
        <w:spacing w:after="100" w:before="240"/>
        <w:ind/>
        <w:rPr/>
      </w:pPr>
      <w:r>
        <w:rPr>
          <w:rFonts w:ascii="Calibri" w:hAnsi="Calibri" w:eastAsia="Calibri" w:cs="Calibri"/>
          <w:b/>
          <w:bCs/>
          <w:color w:val="1f2a37"/>
          <w:sz w:val="21"/>
          <w:szCs w:val="21"/>
        </w:rPr>
        <w:t xml:space="preserve">4.2 Корпоративный поиск</w:t>
      </w:r>
      <w:r/>
    </w:p>
    <w:p>
      <w:pPr>
        <w:pBdr/>
        <w:spacing w:after="120" w:line="276" w:lineRule="auto"/>
        <w:ind/>
        <w:jc w:val="both"/>
        <w:rPr/>
      </w:pPr>
      <w:r>
        <w:rPr>
          <w:b/>
          <w:bCs/>
        </w:rPr>
        <w:t xml:space="preserve">Реализовано.</w:t>
      </w:r>
      <w:r>
        <w:t xml:space="preserve"> Поиск по подключённым источникам с учётом прав доступа пользователя. Состав источников определяется при внедрении.</w:t>
      </w:r>
      <w:r/>
    </w:p>
    <w:p>
      <w:pPr>
        <w:pStyle w:val="722"/>
        <w:pBdr/>
        <w:spacing w:after="100" w:before="240"/>
        <w:ind/>
        <w:rPr/>
      </w:pPr>
      <w:r>
        <w:rPr>
          <w:rFonts w:ascii="Calibri" w:hAnsi="Calibri" w:eastAsia="Calibri" w:cs="Calibri"/>
          <w:b/>
          <w:bCs/>
          <w:color w:val="1f2a37"/>
          <w:sz w:val="21"/>
          <w:szCs w:val="21"/>
        </w:rPr>
        <w:t xml:space="preserve">4.3 Ролевая модель</w:t>
      </w:r>
      <w:r/>
    </w:p>
    <w:p>
      <w:pPr>
        <w:pBdr/>
        <w:spacing w:after="120" w:line="276" w:lineRule="auto"/>
        <w:ind/>
        <w:rPr/>
      </w:pPr>
      <w:r>
        <w:rPr>
          <w:b/>
          <w:bCs/>
        </w:rPr>
        <w:t xml:space="preserve">Реализовано.</w:t>
      </w:r>
      <w:r>
        <w:t xml:space="preserve"> Трёхуровневое разграничение:</w:t>
      </w:r>
      <w:r/>
    </w:p>
    <w:p>
      <w:pPr>
        <w:pStyle w:val="727"/>
        <w:numPr>
          <w:ilvl w:val="0"/>
          <w:numId w:val="2"/>
        </w:numPr>
        <w:pBdr/>
        <w:spacing w:after="60" w:line="276" w:lineRule="auto"/>
        <w:ind/>
        <w:rPr/>
      </w:pPr>
      <w:r>
        <w:rPr>
          <w:b/>
          <w:bCs/>
        </w:rPr>
        <w:t xml:space="preserve">Уровень предметных областей</w:t>
      </w:r>
      <w:r>
        <w:t xml:space="preserve"> — какие источники и объекты доступны роли.</w:t>
      </w:r>
      <w:r/>
    </w:p>
    <w:p>
      <w:pPr>
        <w:pStyle w:val="727"/>
        <w:numPr>
          <w:ilvl w:val="0"/>
          <w:numId w:val="2"/>
        </w:numPr>
        <w:pBdr/>
        <w:spacing w:after="60" w:line="276" w:lineRule="auto"/>
        <w:ind/>
        <w:rPr/>
      </w:pPr>
      <w:r>
        <w:rPr>
          <w:b/>
          <w:bCs/>
        </w:rPr>
        <w:t xml:space="preserve">Уровень строк</w:t>
      </w:r>
      <w:r>
        <w:t xml:space="preserve"> — ограничение выборки по значениям атрибутов (подразделение, регион, клиентский сегмент и т. п.).</w:t>
      </w:r>
      <w:r/>
    </w:p>
    <w:p>
      <w:pPr>
        <w:pStyle w:val="727"/>
        <w:numPr>
          <w:ilvl w:val="0"/>
          <w:numId w:val="2"/>
        </w:numPr>
        <w:pBdr/>
        <w:spacing w:after="60" w:line="276" w:lineRule="auto"/>
        <w:ind/>
        <w:rPr/>
      </w:pPr>
      <w:r>
        <w:rPr>
          <w:b/>
          <w:bCs/>
        </w:rPr>
        <w:t xml:space="preserve">Уровень полей</w:t>
      </w:r>
      <w:r>
        <w:t xml:space="preserve"> — маскирование отдельных полей для роли.</w:t>
      </w:r>
      <w:r/>
    </w:p>
    <w:p>
      <w:pPr>
        <w:pBdr/>
        <w:spacing w:after="120" w:line="276" w:lineRule="auto"/>
        <w:ind/>
        <w:jc w:val="both"/>
        <w:rPr/>
      </w:pPr>
      <w:r>
        <w:t xml:space="preserve">Существенно, что разграничение применяется </w:t>
      </w:r>
      <w:r>
        <w:rPr>
          <w:b/>
          <w:bCs/>
        </w:rPr>
        <w:t xml:space="preserve">до</w:t>
      </w:r>
      <w:r>
        <w:t xml:space="preserve"> обезличивания. Обезличенный ответ о записи, доступа к которой у пользователя нет, также является нарушением — сам факт существования записи информативен. Поэтому маскирование не рассматривается как замена разграничению доступа.</w:t>
      </w:r>
      <w:r/>
    </w:p>
    <w:p>
      <w:pPr>
        <w:pBdr/>
        <w:spacing w:after="120" w:line="276" w:lineRule="auto"/>
        <w:ind/>
        <w:rPr/>
      </w:pPr>
      <w:r>
        <w:t xml:space="preserve">Права привязываются к учётной записи в каталоге организации (см. документ 2, раздел 5).</w:t>
      </w:r>
      <w:r/>
    </w:p>
    <w:p>
      <w:pPr>
        <w:pStyle w:val="722"/>
        <w:pBdr/>
        <w:spacing w:after="100" w:before="240"/>
        <w:ind/>
        <w:rPr/>
      </w:pPr>
      <w:r>
        <w:rPr>
          <w:rFonts w:ascii="Calibri" w:hAnsi="Calibri" w:eastAsia="Calibri" w:cs="Calibri"/>
          <w:b/>
          <w:bCs/>
          <w:color w:val="1f2a37"/>
          <w:sz w:val="21"/>
          <w:szCs w:val="21"/>
        </w:rPr>
        <w:t xml:space="preserve">4.4 Аудит</w:t>
      </w:r>
      <w:r/>
    </w:p>
    <w:p>
      <w:pPr>
        <w:pBdr/>
        <w:spacing w:after="120" w:line="276" w:lineRule="auto"/>
        <w:ind/>
        <w:jc w:val="both"/>
        <w:rPr/>
      </w:pPr>
      <w:r>
        <w:rPr>
          <w:b/>
          <w:bCs/>
        </w:rPr>
        <w:t xml:space="preserve">Реализовано.</w:t>
      </w:r>
      <w:r>
        <w:t xml:space="preserve"> Журналирование ведётся в выделенном хранилище </w:t>
      </w:r>
      <w:r>
        <w:t xml:space="preserve">аудита. Фиксируются: пользователь, время, сессия, задействованные источники, обезличенный текст обращения и ответа, обнаруженные категории персональных данных и применённые политики, вызванные инструменты, адресат-модель, длительность обработки, результат.</w:t>
      </w:r>
      <w:r/>
    </w:p>
    <w:p>
      <w:pPr>
        <w:pBdr/>
        <w:spacing w:after="120" w:line="276" w:lineRule="auto"/>
        <w:ind/>
        <w:jc w:val="both"/>
        <w:rPr/>
      </w:pPr>
      <w:r>
        <w:t xml:space="preserve">Для журнала обращений реализован режим «только добавление» — записи не изменяются и не удаляются средствами приложения.</w:t>
      </w:r>
      <w:r/>
    </w:p>
    <w:p>
      <w:pPr>
        <w:pBdr/>
        <w:spacing w:after="120" w:line="276" w:lineRule="auto"/>
        <w:ind/>
        <w:jc w:val="both"/>
        <w:rPr/>
      </w:pPr>
      <w:r>
        <w:t xml:space="preserve">Исходн</w:t>
      </w:r>
      <w:r>
        <w:t xml:space="preserve">ые значения персональных данных в журнале по умолчанию не сохраняются. Режим сохранения с шифрованием записей предусмотрен отдельно и включается явно. Срок хранения — 90 суток с автоматическим удалением, настраивается. Подробнее см. документ 2, раздел 2.8.</w:t>
      </w:r>
      <w:r/>
    </w:p>
    <w:p>
      <w:pPr>
        <w:pBdr/>
        <w:spacing w:after="120" w:line="276" w:lineRule="auto"/>
        <w:ind/>
        <w:jc w:val="both"/>
        <w:rPr/>
      </w:pPr>
      <w:r>
        <w:rPr>
          <w:b/>
          <w:bCs/>
        </w:rPr>
        <w:t xml:space="preserve">Дорожная карта:</w:t>
      </w:r>
      <w:r>
        <w:t xml:space="preserve"> криптографическое подтверждение неизменности журнала (цепочка контрольных сумм). Срок: </w:t>
      </w:r>
      <w:r>
        <w:rPr>
          <w:lang w:val="ru-RU"/>
        </w:rPr>
        <w:t xml:space="preserve">4 кв 2026 г.</w:t>
      </w:r>
      <w:r>
        <w:t xml:space="preserve">.</w:t>
      </w:r>
      <w:r/>
    </w:p>
    <w:p>
      <w:pPr>
        <w:pStyle w:val="722"/>
        <w:pBdr/>
        <w:spacing w:after="100" w:before="240"/>
        <w:ind/>
        <w:rPr/>
      </w:pPr>
      <w:r>
        <w:rPr>
          <w:rFonts w:ascii="Calibri" w:hAnsi="Calibri" w:eastAsia="Calibri" w:cs="Calibri"/>
          <w:b/>
          <w:bCs/>
          <w:color w:val="1f2a37"/>
          <w:sz w:val="21"/>
          <w:szCs w:val="21"/>
        </w:rPr>
        <w:t xml:space="preserve">4.5 Учёт потребления и квоты</w:t>
      </w:r>
      <w:r/>
    </w:p>
    <w:p>
      <w:pPr>
        <w:pBdr/>
        <w:spacing w:after="120" w:line="276" w:lineRule="auto"/>
        <w:ind/>
        <w:jc w:val="both"/>
        <w:rPr/>
      </w:pPr>
      <w:r>
        <w:rPr>
          <w:b/>
          <w:bCs/>
        </w:rPr>
        <w:t xml:space="preserve">Реализовано.</w:t>
      </w:r>
      <w:r>
        <w:t xml:space="preserve"> В составе платформы работает модуль учёта потребления ресурсов языковых моделей. Ведётся подсчёт израсходованных токенов в разрезе:</w:t>
      </w:r>
      <w:r/>
    </w:p>
    <w:p>
      <w:pPr>
        <w:pStyle w:val="727"/>
        <w:numPr>
          <w:ilvl w:val="0"/>
          <w:numId w:val="3"/>
        </w:numPr>
        <w:pBdr/>
        <w:spacing w:after="60" w:line="276" w:lineRule="auto"/>
        <w:ind/>
        <w:rPr/>
      </w:pPr>
      <w:r>
        <w:t xml:space="preserve">пользователя;</w:t>
      </w:r>
      <w:r/>
    </w:p>
    <w:p>
      <w:pPr>
        <w:pStyle w:val="727"/>
        <w:numPr>
          <w:ilvl w:val="0"/>
          <w:numId w:val="3"/>
        </w:numPr>
        <w:pBdr/>
        <w:spacing w:after="60" w:line="276" w:lineRule="auto"/>
        <w:ind/>
        <w:rPr/>
      </w:pPr>
      <w:r>
        <w:t xml:space="preserve">команды (подразделения);</w:t>
      </w:r>
      <w:r/>
    </w:p>
    <w:p>
      <w:pPr>
        <w:pStyle w:val="727"/>
        <w:numPr>
          <w:ilvl w:val="0"/>
          <w:numId w:val="3"/>
        </w:numPr>
        <w:pBdr/>
        <w:spacing w:after="60" w:line="276" w:lineRule="auto"/>
        <w:ind/>
        <w:rPr/>
      </w:pPr>
      <w:r>
        <w:t xml:space="preserve">подключённой модели — раздельно по каждой из подключённых;</w:t>
      </w:r>
      <w:r/>
    </w:p>
    <w:p>
      <w:pPr>
        <w:pStyle w:val="727"/>
        <w:numPr>
          <w:ilvl w:val="0"/>
          <w:numId w:val="3"/>
        </w:numPr>
        <w:pBdr/>
        <w:spacing w:after="60" w:line="276" w:lineRule="auto"/>
        <w:ind/>
        <w:rPr/>
      </w:pPr>
      <w:r>
        <w:t xml:space="preserve">периода — с гранулярностью до суток и до месяца.</w:t>
      </w:r>
      <w:r/>
    </w:p>
    <w:p>
      <w:pPr>
        <w:pBdr/>
        <w:spacing w:after="120" w:line="276" w:lineRule="auto"/>
        <w:ind/>
        <w:jc w:val="both"/>
        <w:rPr/>
      </w:pPr>
      <w:r>
        <w:t xml:space="preserve">Это позволяет распределять затраты на использование моделей по подразделениям, выявлять сценарии с непропорциональным расходом и планировать нагрузку при переходе от пилота к промышленной эксплуатации.</w:t>
      </w:r>
      <w:r/>
    </w:p>
    <w:p>
      <w:pPr>
        <w:pBdr/>
        <w:spacing w:after="120" w:line="276" w:lineRule="auto"/>
        <w:ind/>
        <w:jc w:val="both"/>
        <w:rPr/>
      </w:pPr>
      <w:r>
        <w:rPr>
          <w:b/>
          <w:bCs/>
        </w:rPr>
        <w:t xml:space="preserve">Принудительное ограничение.</w:t>
      </w:r>
      <w:r>
        <w:t xml:space="preserve"> Для установленных лимит</w:t>
      </w:r>
      <w:r>
        <w:t xml:space="preserve">ов реализована блокировка: при исчерпании лимита обращения к модели не выполняются. Это исключает неконтролируемый рост затрат на использование внешних платных сервисов и ограничивает последствия ошибочных или недобросовестных сценариев массовых обращений.</w:t>
      </w:r>
      <w:r/>
    </w:p>
    <w:p>
      <w:pPr>
        <w:pBdr/>
        <w:spacing w:after="120" w:line="276" w:lineRule="auto"/>
        <w:ind/>
        <w:jc w:val="both"/>
        <w:rPr/>
      </w:pPr>
      <w:r>
        <w:t xml:space="preserve">Лимиты задаются на двух уровнях — на пользователя и на команду (подразделение). Если пользователь входит в несколько команд, обращения блокируются при исчерпании лимита любой из них: применяется наиболее строгое из действующих ограничений.</w:t>
      </w:r>
      <w:r/>
    </w:p>
    <w:p>
      <w:pPr>
        <w:pStyle w:val="722"/>
        <w:pBdr/>
        <w:spacing w:after="100" w:before="240"/>
        <w:ind/>
        <w:rPr/>
      </w:pPr>
      <w:r>
        <w:rPr>
          <w:rFonts w:ascii="Calibri" w:hAnsi="Calibri" w:eastAsia="Calibri" w:cs="Calibri"/>
          <w:b/>
          <w:bCs/>
          <w:color w:val="1f2a37"/>
          <w:sz w:val="21"/>
          <w:szCs w:val="21"/>
        </w:rPr>
        <w:t xml:space="preserve">4.6 Программные интерфейсы</w:t>
      </w:r>
      <w:r/>
    </w:p>
    <w:p>
      <w:pPr>
        <w:pBdr/>
        <w:spacing w:after="120" w:line="276" w:lineRule="auto"/>
        <w:ind/>
        <w:jc w:val="both"/>
        <w:rPr/>
      </w:pPr>
      <w:r>
        <w:rPr>
          <w:b/>
          <w:bCs/>
        </w:rPr>
      </w:r>
      <w:r>
        <w:t xml:space="preserve"> REST API платформы. Интерфейс, совместимый с OpenAI Chat Completions и Anthropic Messages, для подключения внешних агентов и средств автоматизации — обращения через него проходят те же проверки, что и обращения из интерфейса пользователя.</w:t>
      </w:r>
      <w:r>
        <w:rPr>
          <w:lang w:val="ru-RU"/>
        </w:rPr>
        <w:t xml:space="preserve"> </w:t>
      </w:r>
      <w:r>
        <w:t xml:space="preserve">Интерфейс MCP для подключения внешних ИИ-инструментов: поддержаны перечисление и вызов инструментов</w:t>
      </w:r>
      <w:r/>
      <w:r>
        <w:rPr>
          <w:lang w:val="ru-RU"/>
        </w:rPr>
      </w:r>
      <w:r/>
    </w:p>
    <w:p>
      <w:pPr>
        <w:pStyle w:val="721"/>
        <w:pBdr>
          <w:bottom w:val="single" w:color="c9d2da" w:sz="6" w:space="6"/>
        </w:pBdr>
        <w:spacing w:after="140" w:before="320"/>
        <w:ind/>
        <w:rPr/>
      </w:pPr>
      <w:r>
        <w:rPr>
          <w:rFonts w:ascii="Calibri" w:hAnsi="Calibri" w:eastAsia="Calibri" w:cs="Calibri"/>
          <w:b/>
          <w:bCs/>
          <w:color w:val="1b4b6b"/>
          <w:sz w:val="24"/>
          <w:szCs w:val="24"/>
        </w:rPr>
        <w:t xml:space="preserve">5. Варианты развёртывания и лицензионная модель</w:t>
      </w:r>
      <w:r/>
    </w:p>
    <w:p>
      <w:pPr>
        <w:pStyle w:val="722"/>
        <w:pBdr/>
        <w:spacing w:after="100" w:before="240"/>
        <w:ind/>
        <w:rPr/>
      </w:pPr>
      <w:r>
        <w:rPr>
          <w:rFonts w:ascii="Calibri" w:hAnsi="Calibri" w:eastAsia="Calibri" w:cs="Calibri"/>
          <w:b/>
          <w:bCs/>
          <w:color w:val="1f2a37"/>
          <w:sz w:val="21"/>
          <w:szCs w:val="21"/>
        </w:rPr>
        <w:t xml:space="preserve">5.1 Развёртывание</w:t>
      </w:r>
      <w:r/>
    </w:p>
    <w:p>
      <w:pPr>
        <w:pBdr/>
        <w:spacing w:after="120" w:line="276" w:lineRule="auto"/>
        <w:ind/>
        <w:jc w:val="both"/>
        <w:rPr/>
      </w:pPr>
      <w:r>
        <w:t xml:space="preserve">Платформа во всех случаях размещается целиком в инфраструктуре организации. Различие вариантов сводится к тому, где размещена языковая модель.</w:t>
      </w:r>
      <w:r/>
    </w:p>
    <w:p>
      <w:pPr>
        <w:pBdr/>
        <w:spacing w:after="120" w:line="276" w:lineRule="auto"/>
        <w:ind/>
        <w:jc w:val="both"/>
        <w:rPr/>
      </w:pPr>
      <w:r>
        <w:rPr>
          <w:b/>
          <w:bCs/>
        </w:rPr>
        <w:t xml:space="preserve">Вариант А — модель в инфраструктуре организации.</w:t>
      </w:r>
      <w:r>
        <w:t xml:space="preserve"> Исходящие обращения за пределы контура отсутствуют полностью. Обезличивание для такой модели может быть отключено политикой (см. документ 2, раздел 2.6), при этом разграничение доступа и журналирование продолжают действовать.</w:t>
      </w:r>
      <w:r/>
    </w:p>
    <w:p>
      <w:pPr>
        <w:pBdr/>
        <w:spacing w:after="120" w:line="276" w:lineRule="auto"/>
        <w:ind/>
        <w:jc w:val="both"/>
        <w:rPr/>
      </w:pPr>
      <w:r>
        <w:rPr>
          <w:b/>
          <w:bCs/>
        </w:rPr>
        <w:t xml:space="preserve">Вариант Б — внешний сервис модели.</w:t>
      </w:r>
      <w:r>
        <w:t xml:space="preserve"> Обращения выполняются через единственную контролируемую точку выхода с принудительным обезличиванием. За пределы контура передаётся текст, содержащий обезличенные обозначения вместо исходных значений; таблица соответствий остаётся внутри контура.</w:t>
      </w:r>
      <w:r/>
    </w:p>
    <w:p>
      <w:pPr>
        <w:pBdr/>
        <w:spacing w:after="120" w:line="276" w:lineRule="auto"/>
        <w:ind/>
        <w:jc w:val="both"/>
        <w:rPr/>
      </w:pPr>
      <w:r>
        <w:rPr>
          <w:b/>
          <w:bCs/>
        </w:rPr>
        <w:t xml:space="preserve">Вариант В — комбинированный.</w:t>
      </w:r>
      <w:r>
        <w:t xml:space="preserve"> Распределение задач между моделями задаётся политикой на уровне поставщика.</w:t>
      </w:r>
      <w:r/>
    </w:p>
    <w:p>
      <w:pPr>
        <w:pBdr/>
        <w:spacing w:after="120" w:line="276" w:lineRule="auto"/>
        <w:ind/>
        <w:jc w:val="both"/>
        <w:rPr/>
      </w:pPr>
      <w:r>
        <w:t xml:space="preserve">По типу стенда различаются пилотная установка (минимальная конфигурация, без требований к отказоустойчивости) и промышленная установка (резервирование критичных компонентов).</w:t>
      </w:r>
      <w:r/>
    </w:p>
    <w:p>
      <w:pPr>
        <w:pBdr/>
        <w:spacing w:after="120" w:line="276" w:lineRule="auto"/>
        <w:ind/>
        <w:jc w:val="both"/>
        <w:rPr/>
      </w:pPr>
      <w:r>
        <w:rPr>
          <w:b/>
          <w:bCs/>
        </w:rPr>
        <w:t xml:space="preserve">Целевые платформы исполнения.</w:t>
      </w:r>
      <w:r>
        <w:t xml:space="preserve"> Поддерживаются два варианта, выбор определяется практикой эксплуатации организации.</w:t>
      </w:r>
      <w:r/>
    </w:p>
    <w:p>
      <w:pPr>
        <w:pBdr/>
        <w:spacing w:after="120" w:line="276" w:lineRule="auto"/>
        <w:ind/>
        <w:jc w:val="both"/>
        <w:rPr/>
      </w:pPr>
      <w:r>
        <w:rPr>
          <w:i/>
          <w:iCs/>
        </w:rPr>
        <w:t xml:space="preserve">Kubernetes.</w:t>
      </w:r>
      <w:r>
        <w:t xml:space="preserve"> Рекомендуемый вариант для промышленной установк</w:t>
      </w:r>
      <w:r>
        <w:t xml:space="preserve">и. Развёртывание выполняется штатными средствами оркестратора, применяются сетевые политики разграничения взаимодействия компонентов, резервирование и автоматическое восстановление компонентов обеспечиваются платформой оркестрации. </w:t>
      </w:r>
      <w:r/>
      <w:r/>
    </w:p>
    <w:p>
      <w:pPr>
        <w:pBdr/>
        <w:spacing w:after="120" w:line="276" w:lineRule="auto"/>
        <w:ind/>
        <w:jc w:val="both"/>
        <w:rPr/>
      </w:pPr>
      <w:r>
        <w:rPr>
          <w:i/>
          <w:iCs/>
        </w:rPr>
        <w:t xml:space="preserve">Docker Compose.</w:t>
      </w:r>
      <w:r>
        <w:t xml:space="preserve"> Применяется для пилотных установок, демонстрационных стендов и промышленных установок небольшого масштаба, где эксплуатация кластера оркестрации не оправдана. Резервирование компонентов в этом варианте не обеспечивается.</w:t>
      </w:r>
      <w:r/>
    </w:p>
    <w:p>
      <w:pPr>
        <w:pBdr/>
        <w:spacing w:after="120" w:line="276" w:lineRule="auto"/>
        <w:ind/>
        <w:rPr/>
      </w:pPr>
      <w:r>
        <w:t xml:space="preserve">Состав компонентов и функциональность в обоих вариантах идентичны.</w:t>
      </w:r>
      <w:r/>
    </w:p>
    <w:p>
      <w:pPr>
        <w:pStyle w:val="722"/>
        <w:pBdr/>
        <w:spacing w:after="100" w:before="240"/>
        <w:ind/>
        <w:rPr/>
      </w:pPr>
      <w:r>
        <w:rPr>
          <w:rFonts w:ascii="Calibri" w:hAnsi="Calibri" w:eastAsia="Calibri" w:cs="Calibri"/>
          <w:b/>
          <w:bCs/>
          <w:color w:val="1f2a37"/>
          <w:sz w:val="21"/>
          <w:szCs w:val="21"/>
        </w:rPr>
        <w:t xml:space="preserve">5.2 Поставка в изолированный контур</w:t>
      </w:r>
      <w:r/>
    </w:p>
    <w:p>
      <w:pPr>
        <w:pBdr/>
        <w:spacing w:after="120" w:line="276" w:lineRule="auto"/>
        <w:ind/>
        <w:jc w:val="both"/>
        <w:rPr/>
      </w:pPr>
      <w:r>
        <w:rPr>
          <w:b/>
          <w:bCs/>
        </w:rPr>
      </w:r>
      <w:r>
        <w:t xml:space="preserve">Дистрибутив передаётся офлайн: образы компонентов, конфигурации, схемы баз данных, мод</w:t>
      </w:r>
      <w:r>
        <w:t xml:space="preserve">ели векторизации, документация. Образы загружаются во внутренний реестр организации, установка выполняется без обращений во внешние репозитории. Предусмотрены дельта-обновления с контролем целостности и процедура проверки работоспособности после установки.</w:t>
      </w:r>
      <w:r/>
    </w:p>
    <w:p>
      <w:pPr>
        <w:pStyle w:val="722"/>
        <w:pBdr/>
        <w:spacing w:after="100" w:before="240"/>
        <w:ind/>
        <w:rPr/>
      </w:pPr>
      <w:r>
        <w:rPr>
          <w:rFonts w:ascii="Calibri" w:hAnsi="Calibri" w:eastAsia="Calibri" w:cs="Calibri"/>
          <w:b/>
          <w:bCs/>
          <w:color w:val="1f2a37"/>
          <w:sz w:val="21"/>
          <w:szCs w:val="21"/>
        </w:rPr>
        <w:t xml:space="preserve">5.3 Лицензионная модель</w:t>
      </w:r>
      <w:r/>
    </w:p>
    <w:p>
      <w:pPr>
        <w:pBdr/>
        <w:spacing w:after="120" w:line="276" w:lineRule="auto"/>
        <w:ind/>
        <w:jc w:val="both"/>
        <w:rPr/>
      </w:pPr>
      <w:r>
        <w:t xml:space="preserve">М</w:t>
      </w:r>
      <w:r>
        <w:t xml:space="preserve">етрика лицензирования — количество именованных пользователей и количество подключённых источников данных. Предусмотрены редакции, различающиеся составом функций и ограничениями по количеству подключений. Учёт использования ведётся платформой автоматически.</w:t>
      </w:r>
      <w:r/>
    </w:p>
    <w:p>
      <w:pPr>
        <w:pBdr/>
        <w:spacing w:after="120" w:line="276" w:lineRule="auto"/>
        <w:ind/>
        <w:jc w:val="both"/>
        <w:rPr/>
      </w:pPr>
      <w:r>
        <w:t xml:space="preserve">Коммерческие условия, стоимость и порядок оплаты направляются отдельным документом по запросу.</w:t>
      </w:r>
      <w:r/>
    </w:p>
    <w:p>
      <w:pPr>
        <w:pStyle w:val="721"/>
        <w:pBdr>
          <w:bottom w:val="single" w:color="c9d2da" w:sz="6" w:space="6"/>
        </w:pBdr>
        <w:spacing w:after="140" w:before="320"/>
        <w:ind/>
        <w:rPr/>
      </w:pPr>
      <w:r>
        <w:rPr>
          <w:rFonts w:ascii="Calibri" w:hAnsi="Calibri" w:eastAsia="Calibri" w:cs="Calibri"/>
          <w:b/>
          <w:bCs/>
          <w:color w:val="1b4b6b"/>
          <w:sz w:val="24"/>
          <w:szCs w:val="24"/>
        </w:rPr>
        <w:t xml:space="preserve">6. Отличие от применения одного лишь компонента контроля обращений</w:t>
      </w:r>
      <w:r/>
    </w:p>
    <w:p>
      <w:pPr>
        <w:pBdr/>
        <w:spacing w:after="120" w:line="276" w:lineRule="auto"/>
        <w:ind/>
        <w:jc w:val="both"/>
        <w:rPr/>
      </w:pPr>
      <w:r>
        <w:t xml:space="preserve">Вопрос понимается как: в каких случаях достаточно контроля обращений к моделям, а когда требуется полный контур платформы.</w:t>
      </w:r>
      <w:r/>
    </w:p>
    <w:p>
      <w:pPr>
        <w:pBdr/>
        <w:spacing w:after="120" w:line="276" w:lineRule="auto"/>
        <w:ind/>
        <w:jc w:val="both"/>
        <w:rPr/>
      </w:pPr>
      <w:r>
        <w:rPr>
          <w:b/>
          <w:bCs/>
        </w:rPr>
        <w:t xml:space="preserve">Разграничительная линия.</w:t>
      </w:r>
      <w:r>
        <w:t xml:space="preserve"> Компонент контроля обращений контролирует маршрут запроса к модели. Платформа контролирует доступ к данным. Это разные задачи, и вторая не сводится к первой.</w:t>
      </w:r>
      <w:r/>
    </w:p>
    <w:p>
      <w:pPr>
        <w:pBdr/>
        <w:spacing w:after="120" w:line="276" w:lineRule="auto"/>
        <w:ind/>
        <w:rPr/>
      </w:pPr>
      <w:r>
        <w:rPr>
          <w:b/>
          <w:bCs/>
        </w:rPr>
        <w:t xml:space="preserve">Четыре задачи, не решаемые на уровне контроля обращений:</w:t>
      </w:r>
      <w:r/>
    </w:p>
    <w:p>
      <w:pPr>
        <w:pBdr/>
        <w:spacing w:after="120" w:line="276" w:lineRule="auto"/>
        <w:ind/>
        <w:jc w:val="both"/>
        <w:rPr/>
      </w:pPr>
      <w:r>
        <w:rPr>
          <w:b/>
          <w:bCs/>
        </w:rPr>
        <w:t xml:space="preserve">Правомерность доступа.</w:t>
      </w:r>
      <w:r>
        <w:t xml:space="preserve"> Обезличивание применяется к данны</w:t>
      </w:r>
      <w:r>
        <w:t xml:space="preserve">м, которые уже извлечены. Решение о том, имел ли пользователь право получить эти строки, принимается уровнем разграничения доступа. Механизм маскирования такого решения не принимает и принимать не может — он не знает организационной структуры и полномочий.</w:t>
      </w:r>
      <w:r/>
    </w:p>
    <w:p>
      <w:pPr>
        <w:pBdr/>
        <w:spacing w:after="120" w:line="276" w:lineRule="auto"/>
        <w:ind/>
        <w:jc w:val="both"/>
        <w:rPr/>
      </w:pPr>
      <w:r>
        <w:rPr>
          <w:b/>
          <w:bCs/>
        </w:rPr>
        <w:t xml:space="preserve">Источник контекста.</w:t>
      </w:r>
      <w:r>
        <w:t xml:space="preserve"> Без подключённых источников данных и корпоративного поиска содержательные данные попадают в диалог выгрузкой, выполненной пользователем вручную. Периметр обработки при этом не сужается, а расширяется: данные оказываются в файлах на рабочих местах.</w:t>
      </w:r>
      <w:r/>
    </w:p>
    <w:p>
      <w:pPr>
        <w:pBdr/>
        <w:spacing w:after="120" w:line="276" w:lineRule="auto"/>
        <w:ind/>
        <w:jc w:val="both"/>
        <w:rPr/>
      </w:pPr>
      <w:r>
        <w:rPr>
          <w:b/>
          <w:bCs/>
        </w:rPr>
        <w:t xml:space="preserve">Прослеживаемость.</w:t>
      </w:r>
      <w:r>
        <w:t xml:space="preserve"> Регуляторный аудит требует восстановления цепочки «запрос пользователя — источник — выборка — ответ». Журнал операций обезличивания такую цепочку не образует; она формируется механизмами происхождения данных платформы.</w:t>
      </w:r>
      <w:r/>
    </w:p>
    <w:p>
      <w:pPr>
        <w:pBdr/>
        <w:spacing w:after="120" w:line="276" w:lineRule="auto"/>
        <w:ind/>
        <w:jc w:val="both"/>
        <w:rPr/>
      </w:pPr>
      <w:r>
        <w:rPr>
          <w:b/>
          <w:bCs/>
        </w:rPr>
        <w:t xml:space="preserve">Достоверность самого обезличивания.</w:t>
      </w:r>
      <w:r>
        <w:t xml:space="preserve"> Определение того, какие поля каких источников с</w:t>
      </w:r>
      <w:r>
        <w:t xml:space="preserve">одержат персональные данные, выполняется на основании аннотаций каталога метаданных. Каталог наполняется при подключении источников и поддерживается процессами платформы. В отрыве от каталога остаются только шаблоны и распознавание сущностей в свободном те</w:t>
      </w:r>
      <w:r>
        <w:t xml:space="preserve">ксте — механизм, не знающий структуры данных организации, пропускающий нетиповые представления и дающий формальное покрытие вместо фактического. Это тот же класс ограничений, с которым организации сталкиваются при эксплуатации сигнатурных средств контроля.</w:t>
      </w:r>
      <w:r/>
    </w:p>
    <w:p>
      <w:pPr>
        <w:pBdr/>
        <w:spacing w:after="120" w:line="276" w:lineRule="auto"/>
        <w:ind/>
        <w:jc w:val="both"/>
        <w:rPr/>
      </w:pPr>
      <w:r>
        <w:rPr>
          <w:b/>
          <w:bCs/>
        </w:rPr>
        <w:t xml:space="preserve">Вывод.</w:t>
      </w:r>
      <w:r>
        <w:t xml:space="preserve"> Контур контроля обращений вводится в эксплуатацию первым этапом и обладает самостоятельным проверяемым результатом. Однако как обособленное средство защиты он не поставляется — по изложенной выше причине.</w:t>
      </w:r>
      <w:r/>
    </w:p>
    <w:p>
      <w:pPr>
        <w:pStyle w:val="721"/>
        <w:pBdr>
          <w:bottom w:val="single" w:color="c9d2da" w:sz="6" w:space="6"/>
        </w:pBdr>
        <w:spacing w:after="140" w:before="320"/>
        <w:ind/>
        <w:rPr/>
      </w:pPr>
      <w:r>
        <w:rPr>
          <w:rFonts w:ascii="Calibri" w:hAnsi="Calibri" w:eastAsia="Calibri" w:cs="Calibri"/>
          <w:b/>
          <w:bCs/>
          <w:color w:val="1b4b6b"/>
          <w:sz w:val="24"/>
          <w:szCs w:val="24"/>
        </w:rPr>
        <w:t xml:space="preserve">Приложение А. Системные требования</w:t>
      </w:r>
      <w:r/>
    </w:p>
    <w:p>
      <w:pPr>
        <w:pBdr/>
        <w:spacing w:after="120" w:line="276" w:lineRule="auto"/>
        <w:ind/>
        <w:jc w:val="both"/>
        <w:rPr/>
      </w:pPr>
      <w:r>
        <w:t xml:space="preserve">Требования приведены для промышленной установки. Итоговая конфигурация уточняется по результатам обследования исходя из числа пользователей, объёма корпуса документов и количества источников.</w:t>
      </w:r>
      <w:r/>
    </w:p>
    <w:p w14:paraId="752BE4E4">
      <w:pPr>
        <w:pBdr/>
        <w:spacing w:after="120" w:line="276" w:lineRule="auto"/>
        <w:ind/>
        <w:rPr/>
      </w:pPr>
      <w:r>
        <w:rPr>
          <w:b/>
          <w:bCs/>
          <w:lang w:val="ru-RU"/>
        </w:rPr>
        <w:t xml:space="preserve">Пилотный проект</w:t>
      </w:r>
      <w:r>
        <w:rPr>
          <w:b/>
          <w:bCs/>
        </w:rPr>
        <w:t xml:space="preserve">.</w:t>
      </w:r>
      <w:r>
        <w:t xml:space="preserve">  Ориентировочно: 8–16 vCPU, 32–64 ГБ ОЗУ, 200 ГБ дискового пространства. </w:t>
      </w:r>
      <w:r>
        <w:rPr>
          <w:rFonts w:ascii="Consolas" w:hAnsi="Consolas" w:eastAsia="Consolas" w:cs="Consolas"/>
          <w:sz w:val="18"/>
          <w:szCs w:val="18"/>
          <w:highlight w:val="yellow"/>
        </w:rPr>
      </w:r>
      <w:r/>
    </w:p>
    <w:p>
      <w:pPr>
        <w:pBdr/>
        <w:spacing w:after="120" w:line="276" w:lineRule="auto"/>
        <w:ind/>
        <w:jc w:val="both"/>
        <w:rPr>
          <w:rFonts w:ascii="Consolas" w:hAnsi="Consolas" w:eastAsia="Consolas" w:cs="Consolas"/>
          <w:sz w:val="18"/>
          <w:szCs w:val="18"/>
          <w:highlight w:val="none"/>
        </w:rPr>
      </w:pPr>
      <w:r>
        <w:rPr>
          <w:b/>
          <w:bCs/>
        </w:rPr>
        <w:t xml:space="preserve">Группа 1. Контроль обращений</w:t>
      </w:r>
      <w:r>
        <w:t xml:space="preserve">, </w:t>
      </w:r>
      <w:r>
        <w:rPr>
          <w:b/>
          <w:bCs/>
          <w:lang w:val="ru-RU"/>
        </w:rPr>
        <w:t xml:space="preserve">о</w:t>
      </w:r>
      <w:r>
        <w:rPr>
          <w:b/>
          <w:bCs/>
        </w:rPr>
        <w:t xml:space="preserve">бработка данных, каталог, индексация</w:t>
      </w:r>
      <w:r>
        <w:t xml:space="preserve"> Ресурсоёмкость определяется интенсивностью обращений. Ориентировочно: 8–16 vCPU, </w:t>
      </w:r>
      <w:r>
        <w:rPr>
          <w:lang w:val="ru-RU"/>
        </w:rPr>
        <w:t xml:space="preserve">32</w:t>
      </w:r>
      <w:r>
        <w:t xml:space="preserve">–</w:t>
      </w:r>
      <w:r>
        <w:rPr>
          <w:lang w:val="ru-RU"/>
        </w:rPr>
        <w:t xml:space="preserve">128</w:t>
      </w:r>
      <w:r>
        <w:t xml:space="preserve"> ГБ ОЗУ, 200 ГБ дискового пространства.</w:t>
      </w:r>
      <w:r>
        <w:rPr>
          <w:rFonts w:ascii="Consolas" w:hAnsi="Consolas" w:eastAsia="Consolas" w:cs="Consolas"/>
          <w:sz w:val="18"/>
          <w:szCs w:val="18"/>
          <w:highlight w:val="yellow"/>
        </w:rPr>
      </w:r>
      <w:r/>
    </w:p>
    <w:p>
      <w:pPr>
        <w:pBdr/>
        <w:spacing w:after="120" w:line="276" w:lineRule="auto"/>
        <w:ind/>
        <w:jc w:val="both"/>
        <w:rPr/>
      </w:pPr>
      <w:r>
        <w:rPr>
          <w:b/>
          <w:bCs/>
        </w:rPr>
        <w:t xml:space="preserve">Группа </w:t>
      </w:r>
      <w:r>
        <w:rPr>
          <w:b/>
          <w:bCs/>
          <w:lang w:val="ru-RU"/>
        </w:rPr>
        <w:t xml:space="preserve">2</w:t>
      </w:r>
      <w:r>
        <w:rPr>
          <w:b/>
          <w:bCs/>
        </w:rPr>
        <w:t xml:space="preserve">. Векторизация.</w:t>
      </w:r>
      <w:r>
        <w:t xml:space="preserve"> Выполняется на процессорных ресурсах, графические ускорители </w:t>
      </w:r>
      <w:r>
        <w:rPr>
          <w:lang w:val="ru-RU"/>
        </w:rPr>
        <w:t xml:space="preserve">желательны</w:t>
      </w:r>
      <w:r>
        <w:t xml:space="preserve">. Модель bge-m3: 568 млн параметров, размерность вектора 1024, максимальная длина входа 8192 токена, объём весов около 1,1 ГБ. На один экземпляр обработчика: 2–4 vCPU, 4–8 ГБ ОЗУ. Количество экземпляров определяется требуемой скоростью индексации.</w:t>
      </w:r>
      <w:r/>
    </w:p>
    <w:p>
      <w:pPr>
        <w:pBdr/>
        <w:spacing w:after="120" w:line="276" w:lineRule="auto"/>
        <w:ind/>
        <w:jc w:val="both"/>
        <w:rPr/>
      </w:pPr>
      <w:r>
        <w:rPr>
          <w:b/>
          <w:bCs/>
        </w:rPr>
        <w:t xml:space="preserve">Группа </w:t>
      </w:r>
      <w:r>
        <w:rPr>
          <w:b/>
          <w:bCs/>
          <w:lang w:val="ru-RU"/>
        </w:rPr>
        <w:t xml:space="preserve">3</w:t>
      </w:r>
      <w:r>
        <w:rPr>
          <w:b/>
          <w:bCs/>
        </w:rPr>
        <w:t xml:space="preserve">. Хранилища.</w:t>
      </w:r>
      <w:r>
        <w:t xml:space="preserve"> PostgreSQL 16,</w:t>
      </w:r>
      <w:r>
        <w:t xml:space="preserve"> S3-совместимое объектное хранилище, векторное хранилище Qdrant 1.13.6 и выше. Могут использоваться существующие мощности организации либо разворачиваться в составе поставки.</w:t>
      </w:r>
      <w:r>
        <w:rPr>
          <w:lang w:val="ru-RU"/>
        </w:rPr>
        <w:t xml:space="preserve"> </w:t>
      </w:r>
      <w:r>
        <w:t xml:space="preserve">Ориентировочно: 8–16 vCPU, </w:t>
      </w:r>
      <w:r>
        <w:rPr>
          <w:lang w:val="ru-RU"/>
        </w:rPr>
        <w:t xml:space="preserve">32</w:t>
      </w:r>
      <w:r>
        <w:t xml:space="preserve">–</w:t>
      </w:r>
      <w:r>
        <w:rPr>
          <w:lang w:val="ru-RU"/>
        </w:rPr>
        <w:t xml:space="preserve">128</w:t>
      </w:r>
      <w:r>
        <w:t xml:space="preserve"> ГБ ОЗУ, </w:t>
      </w:r>
      <w:r>
        <w:rPr>
          <w:lang w:val="ru-RU"/>
        </w:rPr>
        <w:t xml:space="preserve">от </w:t>
      </w:r>
      <w:r>
        <w:t xml:space="preserve">200 ГБ дискового пространства.</w:t>
      </w:r>
      <w:r>
        <w:rPr>
          <w:lang w:val="ru-RU"/>
        </w:rPr>
      </w:r>
      <w:r/>
    </w:p>
    <w:p>
      <w:pPr>
        <w:pBdr/>
        <w:spacing w:after="120" w:line="276" w:lineRule="auto"/>
        <w:ind/>
        <w:jc w:val="both"/>
        <w:rPr/>
      </w:pPr>
      <w:r>
        <w:rPr>
          <w:b/>
          <w:bCs/>
        </w:rPr>
        <w:t xml:space="preserve">Сеть.</w:t>
      </w:r>
      <w:r>
        <w:t xml:space="preserve"> Взаимодействие компонентов ограничено внутренним пространством имён; сетевые политики построены по принципу «запрещено всё, что не разрешено явно». Требуются внутренняя служба разрешения имён и внутренний реестр образов.</w:t>
      </w:r>
      <w:r/>
    </w:p>
    <w:p>
      <w:pPr>
        <w:pBdr/>
        <w:spacing w:after="120" w:line="276" w:lineRule="auto"/>
        <w:ind/>
        <w:jc w:val="both"/>
        <w:rPr/>
      </w:pPr>
      <w:r>
        <w:rPr>
          <w:b/>
          <w:bCs/>
        </w:rPr>
        <w:t xml:space="preserve">Рабочие места.</w:t>
      </w:r>
      <w:r>
        <w:t xml:space="preserve"> Веб-браузер актуальной версии. Установка программного обеспечения на рабочие места не требуется.</w:t>
      </w:r>
      <w:r/>
    </w:p>
    <w:p>
      <w:pPr>
        <w:pStyle w:val="721"/>
        <w:pBdr>
          <w:bottom w:val="single" w:color="c9d2da" w:sz="6" w:space="6"/>
        </w:pBdr>
        <w:spacing w:after="140" w:before="320"/>
        <w:ind/>
        <w:rPr/>
      </w:pPr>
      <w:r>
        <w:rPr>
          <w:rFonts w:ascii="Calibri" w:hAnsi="Calibri" w:eastAsia="Calibri" w:cs="Calibri"/>
          <w:b/>
          <w:bCs/>
          <w:color w:val="1b4b6b"/>
          <w:sz w:val="24"/>
          <w:szCs w:val="24"/>
        </w:rPr>
        <w:t xml:space="preserve">Приложение Б. Требования к подключаемой языковой модели</w:t>
      </w:r>
      <w:r/>
    </w:p>
    <w:p>
      <w:pPr>
        <w:pBdr/>
        <w:spacing w:after="120" w:line="276" w:lineRule="auto"/>
        <w:ind/>
        <w:rPr/>
      </w:pPr>
      <w:r>
        <w:rPr>
          <w:b/>
          <w:bCs/>
        </w:rPr>
        <w:t xml:space="preserve">Обязательные:</w:t>
      </w:r>
      <w:r/>
    </w:p>
    <w:p>
      <w:pPr>
        <w:pStyle w:val="727"/>
        <w:numPr>
          <w:ilvl w:val="0"/>
          <w:numId w:val="3"/>
        </w:numPr>
        <w:pBdr/>
        <w:spacing w:after="60" w:line="276" w:lineRule="auto"/>
        <w:ind/>
        <w:rPr/>
      </w:pPr>
      <w:r>
        <w:t xml:space="preserve">поддержка вызова инструментов (function calling);</w:t>
      </w:r>
      <w:r/>
    </w:p>
    <w:p>
      <w:pPr>
        <w:pStyle w:val="727"/>
        <w:numPr>
          <w:ilvl w:val="0"/>
          <w:numId w:val="3"/>
        </w:numPr>
        <w:pBdr/>
        <w:spacing w:after="60" w:line="276" w:lineRule="auto"/>
        <w:ind/>
        <w:rPr/>
      </w:pPr>
      <w:r>
        <w:t xml:space="preserve">интерфейс, совместимый с OpenAI Chat Completions, либо один из поддерживаемых нативных интерфейсов;</w:t>
      </w:r>
      <w:r/>
    </w:p>
    <w:p>
      <w:pPr>
        <w:pStyle w:val="727"/>
        <w:numPr>
          <w:ilvl w:val="0"/>
          <w:numId w:val="3"/>
        </w:numPr>
        <w:pBdr/>
        <w:spacing w:after="60" w:line="276" w:lineRule="auto"/>
        <w:ind/>
        <w:rPr/>
      </w:pPr>
      <w:r>
        <w:t xml:space="preserve">потоковая выдача ответа для интерактивных сценариев.</w:t>
      </w:r>
      <w:r/>
    </w:p>
    <w:p>
      <w:pPr>
        <w:pBdr/>
        <w:spacing w:after="120" w:line="276" w:lineRule="auto"/>
        <w:ind/>
        <w:rPr/>
      </w:pPr>
      <w:r>
        <w:rPr>
          <w:b/>
          <w:bCs/>
        </w:rPr>
        <w:t xml:space="preserve">Настраиваемые:</w:t>
      </w:r>
      <w:r/>
    </w:p>
    <w:p>
      <w:pPr>
        <w:pStyle w:val="727"/>
        <w:numPr>
          <w:ilvl w:val="0"/>
          <w:numId w:val="3"/>
        </w:numPr>
        <w:pBdr/>
        <w:spacing w:after="60" w:line="276" w:lineRule="auto"/>
        <w:ind/>
        <w:jc w:val="both"/>
        <w:rPr/>
      </w:pPr>
      <w:r>
        <w:t xml:space="preserve">размер контекстного окна. Рекомендуемое значение — не менее 40 000 токенов. Фактически н</w:t>
      </w:r>
      <w:r>
        <w:t xml:space="preserve">еобходимый объём определяется составом подключённых инструментов и глубиной диалога: описания инструментов и фрагменты документов занимают предсказуемую часть контекста, и при меньшем окне агентные сценарии с несколькими инструментами работают неустойчиво.</w:t>
      </w:r>
      <w:r/>
    </w:p>
    <w:p>
      <w:pPr>
        <w:pBdr/>
        <w:spacing w:after="120" w:line="276" w:lineRule="auto"/>
        <w:ind/>
        <w:jc w:val="both"/>
        <w:rPr/>
      </w:pPr>
      <w:r>
        <w:rPr>
          <w:b/>
          <w:bCs/>
        </w:rPr>
        <w:t xml:space="preserve">Не предъявляются требования</w:t>
      </w:r>
      <w:r>
        <w:t xml:space="preserve"> к конкретному поставщику, способу обслуживания модели и её размеру.</w:t>
      </w:r>
      <w:r/>
    </w:p>
    <w:p>
      <w:pPr>
        <w:pBdr/>
        <w:spacing w:after="120" w:line="276" w:lineRule="auto"/>
        <w:ind/>
        <w:jc w:val="both"/>
        <w:rPr/>
      </w:pPr>
      <w:r>
        <w:t xml:space="preserve">Подключение модели, отсутствующей в перечне раздела 3, выполняется настройкой и проверяется в рамках пилота.</w: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720"/>
        <w:pBdr>
          <w:bottom w:val="single" w:color="c9d2da" w:sz="6" w:space="6"/>
        </w:pBdr>
        <w:spacing w:after="240" w:before="0"/>
        <w:ind/>
        <w:rPr/>
      </w:pPr>
      <w:r>
        <w:rPr>
          <w:rFonts w:ascii="Calibri" w:hAnsi="Calibri" w:eastAsia="Calibri" w:cs="Calibri"/>
          <w:b/>
          <w:bCs/>
          <w:color w:val="1b4b6b"/>
          <w:sz w:val="30"/>
          <w:szCs w:val="30"/>
        </w:rPr>
        <w:t xml:space="preserve">Документ 2. Компонент контроля обращений к языковым моделям</w:t>
      </w:r>
      <w:r/>
    </w:p>
    <w:p>
      <w:pPr>
        <w:pBdr/>
        <w:spacing w:after="120" w:line="276" w:lineRule="auto"/>
        <w:ind/>
        <w:rPr/>
      </w:pPr>
      <w:r>
        <w:t xml:space="preserve">Подсистема в составе корпоративной платформы интеллектуальной аналитики</w:t>
      </w:r>
      <w:r>
        <w:rPr>
          <w:lang w:val="ru-RU"/>
        </w:rPr>
        <w:t xml:space="preserve"> </w:t>
      </w:r>
      <w:r>
        <w:t xml:space="preserve">«AI Guard».</w:t>
      </w:r>
      <w:r/>
    </w:p>
    <w:p>
      <w:pPr>
        <w:pBdr/>
        <w:spacing w:after="120" w:line="276" w:lineRule="auto"/>
        <w:ind/>
        <w:rPr/>
      </w:pPr>
      <w:r>
        <w:t xml:space="preserve">Обозначения статусов — см. документ 1.</w:t>
      </w:r>
      <w:r/>
    </w:p>
    <w:p>
      <w:pPr>
        <w:pStyle w:val="721"/>
        <w:pBdr>
          <w:bottom w:val="single" w:color="c9d2da" w:sz="6" w:space="6"/>
        </w:pBdr>
        <w:spacing w:after="140" w:before="320"/>
        <w:ind/>
        <w:rPr/>
      </w:pPr>
      <w:r>
        <w:rPr>
          <w:rFonts w:ascii="Calibri" w:hAnsi="Calibri" w:eastAsia="Calibri" w:cs="Calibri"/>
          <w:b/>
          <w:bCs/>
          <w:color w:val="1b4b6b"/>
          <w:sz w:val="24"/>
          <w:szCs w:val="24"/>
        </w:rPr>
        <w:t xml:space="preserve">1. Готовое тиражируемое решение</w:t>
      </w:r>
      <w:r/>
    </w:p>
    <w:p>
      <w:pPr>
        <w:pBdr/>
        <w:spacing w:after="120" w:line="276" w:lineRule="auto"/>
        <w:ind/>
        <w:jc w:val="both"/>
        <w:rPr/>
      </w:pPr>
      <w:r>
        <w:t xml:space="preserve">Компонент является частью продуктового ядра платформы: версионируемый дистрибутив, воспроизводимая процедура установки, регламент обновления. Под конкретного заказчика не переписывается.</w:t>
      </w:r>
      <w:r/>
    </w:p>
    <w:p>
      <w:pPr>
        <w:pBdr/>
        <w:spacing w:after="120" w:line="276" w:lineRule="auto"/>
        <w:ind/>
        <w:jc w:val="both"/>
        <w:rPr/>
      </w:pPr>
      <w:r>
        <w:rPr>
          <w:b/>
          <w:bCs/>
        </w:rPr>
        <w:t xml:space="preserve">Отдельно от платформы не поставляется.</w:t>
      </w:r>
      <w:r>
        <w:t xml:space="preserve"> Причина изложена в разделе 6 документа 1 и является технической: определение того, какие по</w:t>
      </w:r>
      <w:r>
        <w:t xml:space="preserve">ля каких источников содержат персональные данные, выполняется на основании аннотаций каталога метаданных платформы. Вне этой связки остаётся распознавание по шаблонам и поиск сущностей в свободном тексте — механизм с формальным, а не фактическим покрытием.</w:t>
      </w:r>
      <w:r>
        <w:rPr>
          <w:lang w:val="ru-RU"/>
        </w:rPr>
        <w:t xml:space="preserve"> Возможно отдельное использование для обработки текстовой информации.</w:t>
      </w:r>
      <w:r/>
    </w:p>
    <w:p>
      <w:pPr>
        <w:pBdr/>
        <w:spacing w:after="120" w:line="276" w:lineRule="auto"/>
        <w:ind/>
        <w:jc w:val="both"/>
        <w:rPr/>
      </w:pPr>
      <w:r>
        <w:t xml:space="preserve">Ввод в эксплуатацию выполняется поэтапно, и контур контроля обращений составляет первый этап с самостоятельным проверяемым результатом.</w:t>
      </w:r>
      <w:r/>
    </w:p>
    <w:p>
      <w:pPr>
        <w:pStyle w:val="721"/>
        <w:pBdr>
          <w:bottom w:val="single" w:color="c9d2da" w:sz="6" w:space="6"/>
        </w:pBdr>
        <w:spacing w:after="140" w:before="320"/>
        <w:ind/>
        <w:rPr/>
      </w:pPr>
      <w:r>
        <w:rPr>
          <w:rFonts w:ascii="Calibri" w:hAnsi="Calibri" w:eastAsia="Calibri" w:cs="Calibri"/>
          <w:b/>
          <w:bCs/>
          <w:color w:val="1b4b6b"/>
          <w:sz w:val="24"/>
          <w:szCs w:val="24"/>
        </w:rPr>
        <w:t xml:space="preserve">2. Полный маршрут данных</w:t>
      </w:r>
      <w:r/>
    </w:p>
    <w:p>
      <w:pPr>
        <w:pStyle w:val="722"/>
        <w:pBdr/>
        <w:spacing w:after="100" w:before="240"/>
        <w:ind/>
        <w:rPr/>
      </w:pPr>
      <w:r>
        <w:rPr>
          <w:rFonts w:ascii="Calibri" w:hAnsi="Calibri" w:eastAsia="Calibri" w:cs="Calibri"/>
          <w:b/>
          <w:bCs/>
          <w:color w:val="1f2a37"/>
          <w:sz w:val="21"/>
          <w:szCs w:val="21"/>
        </w:rPr>
        <w:t xml:space="preserve">2.1 Аутентификация</w:t>
      </w:r>
      <w:r/>
    </w:p>
    <w:p>
      <w:pPr>
        <w:pBdr/>
        <w:spacing w:after="120" w:line="276" w:lineRule="auto"/>
        <w:ind/>
        <w:jc w:val="both"/>
        <w:rPr/>
      </w:pPr>
      <w:r>
        <w:t xml:space="preserve">Пользователь обращается через интерфейс платформы. Учётные данные проверяются в каталоге организации; сессии сопоставляются роль и перечень разрешённых предметных областей. Анонимный доступ отсутствует.</w:t>
      </w:r>
      <w:r/>
    </w:p>
    <w:p>
      <w:pPr>
        <w:pStyle w:val="722"/>
        <w:pBdr/>
        <w:spacing w:after="100" w:before="240"/>
        <w:ind/>
        <w:rPr/>
      </w:pPr>
      <w:r>
        <w:rPr>
          <w:rFonts w:ascii="Calibri" w:hAnsi="Calibri" w:eastAsia="Calibri" w:cs="Calibri"/>
          <w:b/>
          <w:bCs/>
          <w:color w:val="1f2a37"/>
          <w:sz w:val="21"/>
          <w:szCs w:val="21"/>
        </w:rPr>
        <w:t xml:space="preserve">2.2 Разграничение доступа и формирование контекста</w:t>
      </w:r>
      <w:r/>
    </w:p>
    <w:p>
      <w:pPr>
        <w:pBdr/>
        <w:spacing w:after="120" w:line="276" w:lineRule="auto"/>
        <w:ind/>
        <w:jc w:val="both"/>
        <w:rPr/>
      </w:pPr>
      <w:r>
        <w:t xml:space="preserve">До </w:t>
      </w:r>
      <w:r>
        <w:t xml:space="preserve">какой-либо обработки персональных данных определяется, к каким источникам, объектам и строкам пользователь имеет право обращаться. Применяются фильтрация по предметным областям, ограничение выборки на уровне строк, ограничение состава коллекций документов.</w:t>
      </w:r>
      <w:r/>
    </w:p>
    <w:p>
      <w:pPr>
        <w:pBdr/>
        <w:spacing w:after="120" w:line="276" w:lineRule="auto"/>
        <w:ind/>
        <w:jc w:val="both"/>
        <w:rPr/>
      </w:pPr>
      <w:r>
        <w:t xml:space="preserve">Маскирование не подменяет разграничение доступа: обезличенный ответ о записи, доступа к которой у пользователя нет, также является нарушением.</w:t>
      </w:r>
      <w:r/>
    </w:p>
    <w:p>
      <w:pPr>
        <w:pStyle w:val="722"/>
        <w:pBdr/>
        <w:spacing w:after="100" w:before="240"/>
        <w:ind/>
        <w:rPr/>
      </w:pPr>
      <w:r>
        <w:rPr>
          <w:rFonts w:ascii="Calibri" w:hAnsi="Calibri" w:eastAsia="Calibri" w:cs="Calibri"/>
          <w:b/>
          <w:bCs/>
          <w:color w:val="1f2a37"/>
          <w:sz w:val="21"/>
          <w:szCs w:val="21"/>
        </w:rPr>
        <w:t xml:space="preserve">2.3 Обнаружение персональных данных</w:t>
      </w:r>
      <w:r/>
    </w:p>
    <w:p>
      <w:pPr>
        <w:pBdr/>
        <w:spacing w:after="120" w:line="276" w:lineRule="auto"/>
        <w:ind/>
        <w:rPr/>
      </w:pPr>
      <w:r>
        <w:t xml:space="preserve">Применяются три механизма совместно.</w:t>
      </w:r>
      <w:r/>
    </w:p>
    <w:p>
      <w:pPr>
        <w:pBdr/>
        <w:spacing w:after="120" w:line="276" w:lineRule="auto"/>
        <w:ind/>
        <w:jc w:val="both"/>
        <w:rPr/>
      </w:pPr>
      <w:r>
        <w:rPr>
          <w:b/>
          <w:bCs/>
        </w:rPr>
        <w:t xml:space="preserve">Аннотации каталога метаданных.</w:t>
      </w:r>
      <w:r>
        <w:t xml:space="preserve"> Из каталога платформы поступают сведения о том, какие поля каких источников отнесены к персональным данным и какая политика к ним применяется. Это основной механизм для структурированных данных.</w:t>
      </w:r>
      <w:r/>
    </w:p>
    <w:p>
      <w:pPr>
        <w:pBdr/>
        <w:spacing w:after="120" w:line="276" w:lineRule="auto"/>
        <w:ind/>
        <w:jc w:val="both"/>
        <w:rPr/>
      </w:pPr>
      <w:r>
        <w:rPr>
          <w:b/>
          <w:bCs/>
        </w:rPr>
        <w:t xml:space="preserve">Формальные правила для типизированных идентификаторов.</w:t>
      </w:r>
      <w:r>
        <w:t xml:space="preserve"> Распознаются: номера телефонов, адреса электронной почты, ИНН, СНИЛС, паспортные данные, номера банковских карт, номера банковских счетов, ОГРН, IBAN, даты рождения, IP-адреса, государственные регистрационные знаки транспортных средств</w:t>
      </w:r>
      <w:r>
        <w:t xml:space="preserve">, </w:t>
      </w:r>
      <w:r>
        <w:rPr>
          <w:lang w:val="ru-RU"/>
        </w:rPr>
        <w:t xml:space="preserve">токены доступа (более 250 встроенных правил)</w:t>
      </w:r>
      <w:r>
        <w:t xml:space="preserve">.</w:t>
      </w:r>
      <w:r/>
    </w:p>
    <w:p>
      <w:pPr>
        <w:pBdr/>
        <w:spacing w:after="120" w:line="276" w:lineRule="auto"/>
        <w:ind/>
        <w:jc w:val="both"/>
        <w:rPr/>
      </w:pPr>
      <w:r>
        <w:t xml:space="preserve">Для шести типов — ИНН, СН</w:t>
      </w:r>
      <w:r>
        <w:t xml:space="preserve">ИЛС, банковская карта, ОГРН, IBAN, VIN — дополнительно выполняется проверка контрольных соотношений, что исключает ложные срабатывания на числовых последовательностях сходного формата. Для остальных перечисленных типов применяется распознавание по формату.</w:t>
      </w:r>
      <w:r/>
    </w:p>
    <w:p>
      <w:pPr>
        <w:pBdr/>
        <w:spacing w:after="120" w:line="276" w:lineRule="auto"/>
        <w:ind/>
        <w:jc w:val="both"/>
        <w:rPr/>
      </w:pPr>
      <w:r>
        <w:rPr>
          <w:b/>
          <w:bCs/>
        </w:rPr>
        <w:t xml:space="preserve">Распознавание именованных сущностей в свободном тексте.</w:t>
      </w:r>
      <w:r>
        <w:t xml:space="preserve"> Для русского языка и для английского языка используются раздельные специализированные механизмы, выбор выполняется по языку текста. Распознаются имена физических лиц, наименования организаций, географические наименования.</w:t>
      </w:r>
      <w:r/>
    </w:p>
    <w:p>
      <w:pPr>
        <w:pBdr/>
        <w:spacing w:after="120" w:line="276" w:lineRule="auto"/>
        <w:ind/>
        <w:jc w:val="both"/>
        <w:rPr/>
      </w:pPr>
      <w:r>
        <w:t xml:space="preserve">Почтовые адреса распознаются на основании аннотаций каталога; автоматическое выделение адреса в произвольном тексте не выполняется.</w:t>
      </w:r>
      <w:r/>
    </w:p>
    <w:p>
      <w:pPr>
        <w:pBdr/>
        <w:spacing w:after="120" w:line="276" w:lineRule="auto"/>
        <w:ind/>
        <w:jc w:val="both"/>
        <w:rPr/>
      </w:pPr>
      <w:r>
        <w:rPr>
          <w:b/>
          <w:bCs/>
        </w:rPr>
        <w:t xml:space="preserve">Режимы работы.</w:t>
      </w:r>
      <w:r>
        <w:t xml:space="preserve"> Поддерживаются три режима: обработка обнаруженных сущностей (по умолчанию), обработка всего, что не отнесено к заведомо безопасному по словарю, и комбинированный режим. Режим и состав словарей настраиваются.</w:t>
      </w:r>
      <w:r/>
    </w:p>
    <w:p>
      <w:pPr>
        <w:pStyle w:val="722"/>
        <w:pBdr/>
        <w:spacing w:after="100" w:before="240"/>
        <w:ind/>
        <w:rPr/>
      </w:pPr>
      <w:r>
        <w:rPr>
          <w:rFonts w:ascii="Calibri" w:hAnsi="Calibri" w:eastAsia="Calibri" w:cs="Calibri"/>
          <w:b/>
          <w:bCs/>
          <w:color w:val="1f2a37"/>
          <w:sz w:val="21"/>
          <w:szCs w:val="21"/>
        </w:rPr>
        <w:t xml:space="preserve">2.4 Применение политик</w:t>
      </w:r>
      <w:r/>
    </w:p>
    <w:p>
      <w:pPr>
        <w:pBdr/>
        <w:spacing w:after="120" w:line="276" w:lineRule="auto"/>
        <w:ind/>
        <w:jc w:val="both"/>
        <w:rPr/>
      </w:pPr>
      <w:r>
        <w:rPr>
          <w:b/>
          <w:bCs/>
        </w:rPr>
        <w:t xml:space="preserve">Замещение значений.</w:t>
      </w:r>
      <w:r>
        <w:t xml:space="preserve"> Обнаруженные сущности замещаются типизированными обозначениями вида </w:t>
      </w:r>
      <w:r>
        <w:rPr>
          <w:rFonts w:ascii="Consolas" w:hAnsi="Consolas" w:eastAsia="Consolas" w:cs="Consolas"/>
          <w:color w:val="auto"/>
          <w:sz w:val="18"/>
          <w:szCs w:val="18"/>
          <w:highlight w:val="none"/>
        </w:rPr>
        <w:t xml:space="preserve">[PERSON_1]</w:t>
      </w:r>
      <w:r>
        <w:rPr>
          <w:color w:val="auto"/>
          <w:highlight w:val="none"/>
        </w:rPr>
        <w:t xml:space="preserve">, </w:t>
      </w:r>
      <w:r>
        <w:rPr>
          <w:rFonts w:ascii="Consolas" w:hAnsi="Consolas" w:eastAsia="Consolas" w:cs="Consolas"/>
          <w:color w:val="auto"/>
          <w:sz w:val="18"/>
          <w:szCs w:val="18"/>
          <w:highlight w:val="none"/>
        </w:rPr>
        <w:t xml:space="preserve">[PHONE_2]</w:t>
      </w:r>
      <w:r>
        <w:rPr>
          <w:color w:val="auto"/>
          <w:highlight w:val="none"/>
        </w:rPr>
        <w:t xml:space="preserve">.</w:t>
      </w:r>
      <w:r>
        <w:t xml:space="preserve"> Соответствие «значение — обозначение» сохраняется в пределах сессии: одно и то же значение получает одно и то же обозначение, что сохраняет связность контекста и качество ответа модели.</w:t>
      </w:r>
      <w:r/>
    </w:p>
    <w:p>
      <w:pPr>
        <w:pBdr/>
        <w:spacing w:after="120" w:line="276" w:lineRule="auto"/>
        <w:ind/>
        <w:jc w:val="both"/>
        <w:rPr/>
      </w:pPr>
      <w:r>
        <w:rPr>
          <w:b/>
          <w:bCs/>
        </w:rPr>
        <w:t xml:space="preserve">Подавление строк.</w:t>
      </w:r>
      <w:r>
        <w:t xml:space="preserve"> Строки выборки, содержащие количество полей с персональными данными сверх установленного порога, исключаются из передачи целиком. Порог настраивается, значение по умолчанию — три поля.</w:t>
      </w:r>
      <w:r/>
    </w:p>
    <w:p>
      <w:pPr>
        <w:pStyle w:val="722"/>
        <w:pBdr/>
        <w:spacing w:after="100" w:before="240"/>
        <w:ind/>
        <w:rPr/>
      </w:pPr>
      <w:r>
        <w:rPr>
          <w:rFonts w:ascii="Calibri" w:hAnsi="Calibri" w:eastAsia="Calibri" w:cs="Calibri"/>
          <w:b/>
          <w:bCs/>
          <w:color w:val="1f2a37"/>
          <w:sz w:val="21"/>
          <w:szCs w:val="21"/>
        </w:rPr>
        <w:t xml:space="preserve">2.5 Хранение таблицы соответствий</w:t>
      </w:r>
      <w:r/>
    </w:p>
    <w:p>
      <w:pPr>
        <w:pBdr/>
        <w:spacing w:after="120" w:line="276" w:lineRule="auto"/>
        <w:ind/>
        <w:jc w:val="both"/>
        <w:rPr/>
      </w:pPr>
      <w:r>
        <w:t xml:space="preserve">Таблица соответствий «обозначение — исходное значение» разме</w:t>
      </w:r>
      <w:r>
        <w:t xml:space="preserve">щается в хранилище внутри контура организации, привязана к сессии, имеет ограниченное время жизни (по умолчанию 60 минут, настраивается). Изоляция обеспечивается на уровне ключей: обозначение, сформированное в одной сессии, не может быть раскрыто в другой.</w:t>
      </w:r>
      <w:r/>
    </w:p>
    <w:p>
      <w:pPr>
        <w:pBdr/>
        <w:spacing w:after="120" w:line="276" w:lineRule="auto"/>
        <w:ind/>
        <w:jc w:val="both"/>
        <w:rPr/>
      </w:pPr>
      <w:r>
        <w:t xml:space="preserve">Таблица не передаётся в модель ни при каких условиях и не покидает периметр установки. Следствие: восстановление исходных данных из перехваченного трафика к внешней модели невозможно — вне контура отсутствует соответствие.</w:t>
      </w:r>
      <w:r/>
    </w:p>
    <w:p>
      <w:pPr>
        <w:pBdr/>
        <w:spacing w:after="120" w:line="276" w:lineRule="auto"/>
        <w:ind/>
        <w:jc w:val="both"/>
        <w:rPr/>
      </w:pPr>
      <w:r>
        <w:t xml:space="preserve">Для промышленной установки хранилищем соответствий выступает выделенная резидентная СУБД. Конфигурация проверяется при запуске: если хранилище объявлено в настр</w:t>
      </w:r>
      <w:r>
        <w:t xml:space="preserve">ойках и недоступно, компонент не стартует. Тихого перехода на менее защищённый режим не происходит — это исключает ситуацию, когда администратор считает конфигурацию действующей, а фактически работает упрощённый режим без ограничения времени жизни записей.</w:t>
      </w:r>
      <w:r/>
    </w:p>
    <w:p>
      <w:pPr>
        <w:pBdr/>
        <w:spacing w:after="120" w:line="276" w:lineRule="auto"/>
        <w:ind/>
        <w:jc w:val="both"/>
        <w:rPr/>
      </w:pPr>
      <w:r>
        <w:rPr>
          <w:i/>
          <w:iCs/>
        </w:rPr>
        <w:t xml:space="preserve">Уточнение для оценки рисков: таблица соответствий представляет собой рабочее состояние сессии, а не хранилище данных. Записи существуют не дольше установленного времени жизни (п</w:t>
      </w:r>
      <w:r>
        <w:rPr>
          <w:i/>
          <w:iCs/>
        </w:rPr>
        <w:t xml:space="preserve">о умолчанию 60 минут), после чего удаляются. Защита обеспечивается размещением хранилища внутри контура, ограничением сетевого доступа к нему и средствами защиты операционной системы. Шифрование записей в состоянии покоя для этого хранилища не применяется.</w:t>
      </w:r>
      <w:r/>
    </w:p>
    <w:p>
      <w:pPr>
        <w:pStyle w:val="722"/>
        <w:pBdr/>
        <w:spacing w:after="100" w:before="240"/>
        <w:ind/>
        <w:rPr/>
      </w:pPr>
      <w:r>
        <w:rPr>
          <w:rFonts w:ascii="Calibri" w:hAnsi="Calibri" w:eastAsia="Calibri" w:cs="Calibri"/>
          <w:b/>
          <w:bCs/>
          <w:color w:val="1f2a37"/>
          <w:sz w:val="21"/>
          <w:szCs w:val="21"/>
        </w:rPr>
        <w:t xml:space="preserve">2.6 Передача в модель и политика по поставщикам</w:t>
      </w:r>
      <w:r/>
    </w:p>
    <w:p>
      <w:pPr>
        <w:pBdr/>
        <w:spacing w:after="120" w:line="276" w:lineRule="auto"/>
        <w:ind/>
        <w:rPr/>
      </w:pPr>
      <w:r>
        <w:t xml:space="preserve">Обезличивание настраивается на уровне поставщика модели.</w:t>
      </w:r>
      <w:r/>
    </w:p>
    <w:p>
      <w:pPr>
        <w:pBdr/>
        <w:spacing w:after="120" w:line="276" w:lineRule="auto"/>
        <w:ind/>
        <w:jc w:val="both"/>
        <w:rPr/>
      </w:pPr>
      <w:r>
        <w:t xml:space="preserve">Для модели, размещённой в инфраструктуре организации, обработка может выполняться без замещения значений — данные не покидают периметр. Для внешних сервисов замещение применяется принудительно.</w:t>
      </w:r>
      <w:r/>
    </w:p>
    <w:p>
      <w:pPr>
        <w:pBdr/>
        <w:spacing w:after="120" w:line="276" w:lineRule="auto"/>
        <w:ind/>
        <w:jc w:val="both"/>
        <w:rPr/>
      </w:pPr>
      <w:r>
        <w:t xml:space="preserve">Политика управляемая: если внутренняя сегментация организации требует, чтобы данные не передавались в полном виде и локально размещённой модели — например, когда модель эксплуатируется другим подразделением, — замещение включается и для неё.</w:t>
      </w:r>
      <w:r/>
    </w:p>
    <w:p>
      <w:pPr>
        <w:pBdr/>
        <w:spacing w:after="120" w:line="276" w:lineRule="auto"/>
        <w:ind/>
        <w:jc w:val="both"/>
        <w:rPr/>
      </w:pPr>
      <w:r>
        <w:rPr>
          <w:b/>
          <w:bCs/>
        </w:rPr>
        <w:t xml:space="preserve">Отключение замещения не отключает остальные механизмы.</w:t>
      </w:r>
      <w:r>
        <w:t xml:space="preserve"> Разграничение доступа по предметным областям и ограничение выборки на уровне строк применяются независимо от поставщика модели. Журналирование ведётся во всех режимах в полном объёме.</w:t>
      </w:r>
      <w:r/>
    </w:p>
    <w:p>
      <w:pPr>
        <w:pBdr/>
        <w:spacing w:after="120" w:line="276" w:lineRule="auto"/>
        <w:ind/>
        <w:jc w:val="both"/>
        <w:rPr/>
      </w:pPr>
      <w:r>
        <w:t xml:space="preserve">При недоступности механизмов контроля обращение к модели блокируется, а не выполняется без проверки. Режим настраивается, значение по умолчанию — блокировать.</w:t>
      </w:r>
      <w:r/>
    </w:p>
    <w:p>
      <w:pPr>
        <w:pStyle w:val="722"/>
        <w:pBdr/>
        <w:spacing w:after="100" w:before="240"/>
        <w:ind/>
        <w:rPr/>
      </w:pPr>
      <w:r>
        <w:rPr>
          <w:rFonts w:ascii="Calibri" w:hAnsi="Calibri" w:eastAsia="Calibri" w:cs="Calibri"/>
          <w:b/>
          <w:bCs/>
          <w:color w:val="1f2a37"/>
          <w:sz w:val="21"/>
          <w:szCs w:val="21"/>
        </w:rPr>
        <w:t xml:space="preserve">2.7 Обратное восстановление</w:t>
      </w:r>
      <w:r/>
    </w:p>
    <w:p>
      <w:pPr>
        <w:pBdr/>
        <w:spacing w:after="120" w:line="276" w:lineRule="auto"/>
        <w:ind/>
        <w:jc w:val="both"/>
        <w:rPr/>
      </w:pPr>
      <w:r>
        <w:t xml:space="preserve">Ответ модели проходит обратную подстановку по таблице соответствий той же сессии. Пользователь получает в открытом виде исключительно те данные, право доступа к которым подтверждено на шаге 2.2.</w:t>
      </w:r>
      <w:r/>
    </w:p>
    <w:p>
      <w:pPr>
        <w:pBdr/>
        <w:spacing w:after="120" w:line="276" w:lineRule="auto"/>
        <w:ind/>
        <w:jc w:val="both"/>
        <w:rPr/>
      </w:pPr>
      <w:r>
        <w:t xml:space="preserve">Восстановление возможно исключительно при наличии таблицы соответстви</w:t>
      </w:r>
      <w:r>
        <w:t xml:space="preserve">й в контуре. При её отсутствии или истечении срока жизни записей данные не раскрываются — ответ возвращается в обезличенном виде, с сохранением типизированных обозначений в тексте. Раскрытие данных без таблицы соответствий невозможно ни при каких условиях.</w:t>
      </w:r>
      <w:r/>
    </w:p>
    <w:p>
      <w:pPr>
        <w:pBdr/>
        <w:spacing w:after="120" w:line="276" w:lineRule="auto"/>
        <w:ind/>
        <w:jc w:val="both"/>
        <w:rPr/>
      </w:pPr>
      <w:r>
        <w:t xml:space="preserve">При потоковой выдаче ответа применяется буферизация на границах обозначений: фрагмент обозначения, разорванный между сетевыми пакетами, не передаётся в интерфейс до полного восстановления.</w:t>
      </w:r>
      <w:r/>
    </w:p>
    <w:p>
      <w:pPr>
        <w:pStyle w:val="722"/>
        <w:pBdr/>
        <w:spacing w:after="100" w:before="240"/>
        <w:ind/>
        <w:rPr/>
      </w:pPr>
      <w:r>
        <w:rPr>
          <w:rFonts w:ascii="Calibri" w:hAnsi="Calibri" w:eastAsia="Calibri" w:cs="Calibri"/>
          <w:b/>
          <w:bCs/>
          <w:color w:val="1f2a37"/>
          <w:sz w:val="21"/>
          <w:szCs w:val="21"/>
        </w:rPr>
        <w:t xml:space="preserve">2.8 Журналирование</w:t>
      </w:r>
      <w:r/>
    </w:p>
    <w:p>
      <w:pPr>
        <w:pBdr/>
        <w:spacing w:after="120" w:line="276" w:lineRule="auto"/>
        <w:ind/>
        <w:jc w:val="both"/>
        <w:rPr/>
      </w:pPr>
      <w:r>
        <w:t xml:space="preserve">Фиксируют</w:t>
      </w:r>
      <w:r>
        <w:t xml:space="preserve">ся: пользователь, сессия, время, направление передачи, задействованные источники и инструменты, язык, обезличенный текст обращения и ответа, перечень обнаруженных категорий сущностей и применённых политик, адресат-модель, длительность обработки, результат.</w:t>
      </w:r>
      <w:r/>
    </w:p>
    <w:p>
      <w:pPr>
        <w:pBdr/>
        <w:spacing w:after="120" w:line="276" w:lineRule="auto"/>
        <w:ind/>
        <w:rPr/>
      </w:pPr>
      <w:r>
        <w:t xml:space="preserve">Для журнала обращений реализован режим «только добавление».</w:t>
      </w:r>
      <w:r/>
    </w:p>
    <w:p>
      <w:pPr>
        <w:pBdr/>
        <w:spacing w:after="120" w:line="276" w:lineRule="auto"/>
        <w:ind/>
        <w:jc w:val="both"/>
        <w:rPr/>
      </w:pPr>
      <w:r>
        <w:rPr>
          <w:b/>
          <w:bCs/>
        </w:rPr>
        <w:t xml:space="preserve">Обращение с исходными значениями персональных данных.</w:t>
      </w:r>
      <w:r>
        <w:t xml:space="preserve"> Сырые значения не записываются в журналы работы компонентов ни на</w:t>
      </w:r>
      <w:r>
        <w:t xml:space="preserve"> одном уровне детализации. В журнале аудита исходные значения по умолчанию не сохраняются: фиксируются обезличенный текст и сведения об обнаруженных сущностях — этого достаточно для разбора инцидента, но недостаточно для восстановления персональных данных.</w:t>
      </w:r>
      <w:r/>
    </w:p>
    <w:p>
      <w:pPr>
        <w:pBdr/>
        <w:spacing w:after="120" w:line="276" w:lineRule="auto"/>
        <w:ind/>
        <w:jc w:val="both"/>
        <w:rPr/>
      </w:pPr>
      <w:r>
        <w:t xml:space="preserve">Дл</w:t>
      </w:r>
      <w:r>
        <w:t xml:space="preserve">я случаев, когда регламент организации требует сохранения исходных значений (расследование инцидентов, доказательная база), предусмотрен отдельный режим, включаемый явно. В этом режиме исходные значения шифруются при записи и хранятся в зашифрованном виде.</w:t>
      </w:r>
      <w:r/>
    </w:p>
    <w:p>
      <w:pPr>
        <w:pBdr/>
        <w:spacing w:after="120" w:line="276" w:lineRule="auto"/>
        <w:ind/>
        <w:jc w:val="both"/>
        <w:rPr/>
      </w:pPr>
      <w:r>
        <w:rPr>
          <w:b/>
          <w:bCs/>
        </w:rPr>
        <w:t xml:space="preserve">Срок хранения.</w:t>
      </w:r>
      <w:r>
        <w:t xml:space="preserve"> Записи журнала аудита хранятся 90 суток, после чего удаляются автоматически. Срок настраивается, в том числе может быть увеличен или снят по требованию организации.</w:t>
      </w:r>
      <w:r/>
    </w:p>
    <w:p>
      <w:pPr>
        <w:pStyle w:val="722"/>
        <w:pBdr/>
        <w:spacing w:after="100" w:before="240"/>
        <w:ind/>
        <w:rPr/>
      </w:pPr>
      <w:r>
        <w:rPr>
          <w:rFonts w:ascii="Calibri" w:hAnsi="Calibri" w:eastAsia="Calibri" w:cs="Calibri"/>
          <w:b/>
          <w:bCs/>
          <w:color w:val="1f2a37"/>
          <w:sz w:val="21"/>
          <w:szCs w:val="21"/>
        </w:rPr>
        <w:t xml:space="preserve">2.9 Задержка обработки</w:t>
      </w:r>
      <w:r/>
    </w:p>
    <w:p>
      <w:pPr>
        <w:pBdr/>
        <w:spacing w:after="120" w:line="276" w:lineRule="auto"/>
        <w:ind/>
        <w:rPr/>
      </w:pPr>
      <w:r>
        <w:t xml:space="preserve">Накладные расходы механизмов обнаружения и замещения измерены на процессорных ресурсах, без графических ускорителей:</w:t>
      </w:r>
      <w:r/>
    </w:p>
    <w:tbl>
      <w:tblPr>
        <w:tblW w:w="9026" w:type="dxa"/>
        <w:tblBorders>
          <w:top w:val="single" w:color="c9d2da" w:sz="4" w:space="0"/>
          <w:left w:val="single" w:color="c9d2da" w:sz="4" w:space="0"/>
          <w:bottom w:val="single" w:color="c9d2da" w:sz="4" w:space="0"/>
          <w:right w:val="single" w:color="c9d2da" w:sz="4" w:space="0"/>
          <w:insideH w:val="single" w:color="c9d2da" w:sz="4" w:space="0"/>
          <w:insideV w:val="single" w:color="c9d2da" w:sz="4" w:space="0"/>
        </w:tblBorders>
        <w:tblLook w:val="04A0" w:firstRow="1" w:lastRow="0" w:firstColumn="1" w:lastColumn="0" w:noHBand="0" w:noVBand="1"/>
      </w:tblPr>
      <w:tblGrid>
        <w:gridCol w:w="3008"/>
        <w:gridCol w:w="3008"/>
        <w:gridCol w:w="3010"/>
      </w:tblGrid>
      <w:tr>
        <w:trPr>
          <w:tblHeader/>
        </w:trPr>
        <w:tc>
          <w:tcPr>
            <w:shd w:val="clear" w:color="auto" w:fill="edf1f4"/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3008" w:type="dxa"/>
            <w:textDirection w:val="lrTb"/>
            <w:noWrap w:val="false"/>
          </w:tcPr>
          <w:p>
            <w:pPr>
              <w:pBdr/>
              <w:spacing w:after="0" w:line="260" w:lineRule="auto"/>
              <w:ind/>
              <w:rPr/>
            </w:pPr>
            <w:r>
              <w:rPr>
                <w:b/>
                <w:bCs/>
                <w:sz w:val="19"/>
                <w:szCs w:val="19"/>
              </w:rPr>
              <w:t xml:space="preserve">Контур обработки</w:t>
            </w:r>
            <w:r/>
          </w:p>
        </w:tc>
        <w:tc>
          <w:tcPr>
            <w:shd w:val="clear" w:color="auto" w:fill="edf1f4"/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3008" w:type="dxa"/>
            <w:textDirection w:val="lrTb"/>
            <w:noWrap w:val="false"/>
          </w:tcPr>
          <w:p>
            <w:pPr>
              <w:pBdr/>
              <w:spacing w:after="0" w:line="260" w:lineRule="auto"/>
              <w:ind/>
              <w:rPr/>
            </w:pPr>
            <w:r>
              <w:rPr>
                <w:b/>
                <w:bCs/>
                <w:sz w:val="19"/>
                <w:szCs w:val="19"/>
              </w:rPr>
              <w:t xml:space="preserve">Медиана</w:t>
            </w:r>
            <w:r/>
          </w:p>
        </w:tc>
        <w:tc>
          <w:tcPr>
            <w:shd w:val="clear" w:color="auto" w:fill="edf1f4"/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3010" w:type="dxa"/>
            <w:textDirection w:val="lrTb"/>
            <w:noWrap w:val="false"/>
          </w:tcPr>
          <w:p>
            <w:pPr>
              <w:pBdr/>
              <w:spacing w:after="0" w:line="260" w:lineRule="auto"/>
              <w:ind/>
              <w:rPr/>
            </w:pPr>
            <w:r>
              <w:rPr>
                <w:b/>
                <w:bCs/>
                <w:sz w:val="19"/>
                <w:szCs w:val="19"/>
              </w:rPr>
              <w:t xml:space="preserve">95-й перцентиль</w:t>
            </w:r>
            <w:r/>
          </w:p>
        </w:tc>
      </w:tr>
      <w:tr>
        <w:trPr/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3008" w:type="dxa"/>
            <w:textDirection w:val="lrTb"/>
            <w:noWrap w:val="false"/>
          </w:tcPr>
          <w:p>
            <w:pPr>
              <w:pBdr/>
              <w:spacing w:after="0" w:line="260" w:lineRule="auto"/>
              <w:ind/>
              <w:rPr/>
            </w:pPr>
            <w:r>
              <w:rPr>
                <w:sz w:val="19"/>
                <w:szCs w:val="19"/>
              </w:rPr>
              <w:t xml:space="preserve">Формальные правила (телефон, почта, ИНН, СНИЛС, паспорт)</w:t>
            </w:r>
            <w:r/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3008" w:type="dxa"/>
            <w:textDirection w:val="lrTb"/>
            <w:noWrap w:val="false"/>
          </w:tcPr>
          <w:p>
            <w:pPr>
              <w:pBdr/>
              <w:spacing w:after="0" w:line="260" w:lineRule="auto"/>
              <w:ind/>
              <w:rPr/>
            </w:pPr>
            <w:r>
              <w:rPr>
                <w:sz w:val="19"/>
                <w:szCs w:val="19"/>
              </w:rPr>
              <w:t xml:space="preserve">0,05 мс</w:t>
            </w:r>
            <w:r/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3010" w:type="dxa"/>
            <w:textDirection w:val="lrTb"/>
            <w:noWrap w:val="false"/>
          </w:tcPr>
          <w:p>
            <w:pPr>
              <w:pBdr/>
              <w:spacing w:after="0" w:line="260" w:lineRule="auto"/>
              <w:ind/>
              <w:rPr/>
            </w:pPr>
            <w:r>
              <w:rPr>
                <w:sz w:val="19"/>
                <w:szCs w:val="19"/>
              </w:rPr>
              <w:t xml:space="preserve">0,05 мс</w:t>
            </w:r>
            <w:r/>
          </w:p>
        </w:tc>
      </w:tr>
      <w:tr>
        <w:trPr/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3008" w:type="dxa"/>
            <w:textDirection w:val="lrTb"/>
            <w:noWrap w:val="false"/>
          </w:tcPr>
          <w:p>
            <w:pPr>
              <w:pBdr/>
              <w:spacing w:after="0" w:line="260" w:lineRule="auto"/>
              <w:ind/>
              <w:rPr/>
            </w:pPr>
            <w:r>
              <w:rPr>
                <w:sz w:val="19"/>
                <w:szCs w:val="19"/>
              </w:rPr>
              <w:t xml:space="preserve">Распознавание именованных сущностей (ФИО, организации)</w:t>
            </w:r>
            <w:r/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3008" w:type="dxa"/>
            <w:textDirection w:val="lrTb"/>
            <w:noWrap w:val="false"/>
          </w:tcPr>
          <w:p>
            <w:pPr>
              <w:pBdr/>
              <w:spacing w:after="0" w:line="260" w:lineRule="auto"/>
              <w:ind/>
              <w:rPr/>
            </w:pPr>
            <w:r>
              <w:rPr>
                <w:sz w:val="19"/>
                <w:szCs w:val="19"/>
              </w:rPr>
              <w:t xml:space="preserve">1,08 мс</w:t>
            </w:r>
            <w:r/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3010" w:type="dxa"/>
            <w:textDirection w:val="lrTb"/>
            <w:noWrap w:val="false"/>
          </w:tcPr>
          <w:p>
            <w:pPr>
              <w:pBdr/>
              <w:spacing w:after="0" w:line="260" w:lineRule="auto"/>
              <w:ind/>
              <w:rPr/>
            </w:pPr>
            <w:r>
              <w:rPr>
                <w:sz w:val="19"/>
                <w:szCs w:val="19"/>
              </w:rPr>
              <w:t xml:space="preserve">1,56 мс</w:t>
            </w:r>
            <w:r/>
          </w:p>
        </w:tc>
      </w:tr>
    </w:tbl>
    <w:p>
      <w:pPr>
        <w:pBdr/>
        <w:spacing w:after="120"/>
        <w:ind/>
        <w:rPr/>
      </w:pPr>
      <w:r/>
      <w:r/>
    </w:p>
    <w:p>
      <w:pPr>
        <w:pBdr/>
        <w:spacing w:after="120" w:line="276" w:lineRule="auto"/>
        <w:ind/>
        <w:jc w:val="both"/>
        <w:rPr/>
      </w:pPr>
      <w:r>
        <w:t xml:space="preserve">Совокупная задержка полного контура обработки не превышает 2 мс на обращение при 95-м перцентиле. На воспринимаемое время ответа это не влияет: оно определяется временем работы языковой модели и составляет единицы секунд.</w:t>
      </w:r>
      <w:r/>
    </w:p>
    <w:p>
      <w:pPr>
        <w:pBdr/>
        <w:spacing w:after="120" w:line="276" w:lineRule="auto"/>
        <w:ind/>
        <w:rPr/>
      </w:pPr>
      <w:r>
        <w:t xml:space="preserve">Приведённые значения относятся к обработке реплики пользователя.</w:t>
      </w:r>
      <w:r/>
    </w:p>
    <w:p>
      <w:pPr>
        <w:pBdr/>
        <w:spacing w:after="120" w:line="276" w:lineRule="auto"/>
        <w:ind/>
        <w:jc w:val="both"/>
        <w:rPr/>
      </w:pPr>
      <w:r>
        <w:rPr>
          <w:b/>
          <w:bCs/>
        </w:rPr>
        <w:t xml:space="preserve">Обработка результатов обращения к источникам данных.</w:t>
      </w:r>
      <w:r>
        <w:t xml:space="preserve"> Помимо реплик, обработка применяется к результатам обращения к подключённым источникам. Объём таких результатов ограничен настройкой платформы (по умолчанию 150–200 строк) — это ограничени</w:t>
      </w:r>
      <w:r>
        <w:t xml:space="preserve">е обусловлено размером контекстного окна модели и действует независимо от механизмов защиты. При ограничении, действующем по умолчанию, задержка обработки не превышает 0,5 секунды и остаётся малой величиной относительно времени формирования ответа моделью.</w:t>
      </w:r>
      <w:r/>
    </w:p>
    <w:p>
      <w:pPr>
        <w:pBdr/>
        <w:spacing w:after="120" w:line="276" w:lineRule="auto"/>
        <w:ind/>
        <w:jc w:val="both"/>
        <w:rPr/>
      </w:pPr>
      <w:r>
        <w:t xml:space="preserve">Обработка свободного текста выполняется распознаванием сущностей, стоимость которого пропорциональна объёму текста. Для та</w:t>
      </w:r>
      <w:r>
        <w:t xml:space="preserve">бличных данных целевым механизмом является маскирование по столбцам на основании аннотаций каталога: столбец, отмеченный как содержащий персональные данные, маскируется целиком, и стоимость обработки перестаёт зависеть от числа строк</w:t>
      </w:r>
      <w:r>
        <w:t xml:space="preserve">.</w:t>
      </w:r>
      <w:r/>
    </w:p>
    <w:p>
      <w:pPr>
        <w:pBdr/>
        <w:spacing w:after="120" w:line="276" w:lineRule="auto"/>
        <w:ind/>
        <w:rPr/>
      </w:pPr>
      <w:r>
        <w:t xml:space="preserve">Показатели для рабочей нагрузки организации уточняются в рамках пилота.</w:t>
      </w:r>
      <w:r/>
    </w:p>
    <w:p>
      <w:pPr>
        <w:pBdr/>
        <w:spacing w:after="120" w:line="276" w:lineRule="auto"/>
        <w:ind/>
        <w:jc w:val="both"/>
        <w:rPr/>
      </w:pPr>
      <w:r>
        <w:t xml:space="preserve">Приведённые значения относятся к обнаружению и замещению персональных данных. Механизм контроля сведений ограниченного распространения (см. раздел 5.3), если он включён, обрабатывает запрос отдельно, и его задержка измеряется самостоятельно.</w:t>
      </w:r>
      <w:r/>
    </w:p>
    <w:p>
      <w:pPr>
        <w:pStyle w:val="722"/>
        <w:pBdr/>
        <w:spacing w:after="100" w:before="240"/>
        <w:ind/>
        <w:rPr/>
      </w:pPr>
      <w:r>
        <w:rPr>
          <w:rFonts w:ascii="Calibri" w:hAnsi="Calibri" w:eastAsia="Calibri" w:cs="Calibri"/>
          <w:b/>
          <w:bCs/>
          <w:color w:val="1f2a37"/>
          <w:sz w:val="21"/>
          <w:szCs w:val="21"/>
        </w:rPr>
        <w:t xml:space="preserve">2.10 Единство маршрута</w:t>
      </w:r>
      <w:r/>
    </w:p>
    <w:p>
      <w:pPr>
        <w:pBdr/>
        <w:spacing w:after="120" w:line="276" w:lineRule="auto"/>
        <w:ind/>
        <w:jc w:val="both"/>
        <w:rPr/>
      </w:pPr>
      <w:r>
        <w:t xml:space="preserve">Изложенный маршрут применяется ко всем каналам обращения к модели: диалоговому интерфейсу, программным интерфейсам платформы, агентным сценариям, подключённым внешним инструментам. Отдельного пути в обход контроля не предусмотрено.</w:t>
      </w:r>
      <w:r/>
    </w:p>
    <w:p>
      <w:pPr>
        <w:pStyle w:val="721"/>
        <w:pBdr>
          <w:bottom w:val="single" w:color="c9d2da" w:sz="6" w:space="6"/>
        </w:pBdr>
        <w:spacing w:after="140" w:before="320"/>
        <w:ind/>
        <w:rPr/>
      </w:pPr>
      <w:r>
        <w:rPr>
          <w:rFonts w:ascii="Calibri" w:hAnsi="Calibri" w:eastAsia="Calibri" w:cs="Calibri"/>
          <w:b/>
          <w:bCs/>
          <w:color w:val="1b4b6b"/>
          <w:sz w:val="24"/>
          <w:szCs w:val="24"/>
        </w:rPr>
        <w:t xml:space="preserve">3. Поддерживаемые сервисы, интерфейсы и форматы</w:t>
      </w:r>
      <w:r/>
    </w:p>
    <w:p>
      <w:pPr>
        <w:pStyle w:val="722"/>
        <w:pBdr/>
        <w:spacing w:after="100" w:before="240"/>
        <w:ind/>
        <w:rPr/>
      </w:pPr>
      <w:r>
        <w:rPr>
          <w:rFonts w:ascii="Calibri" w:hAnsi="Calibri" w:eastAsia="Calibri" w:cs="Calibri"/>
          <w:b/>
          <w:bCs/>
          <w:color w:val="1f2a37"/>
          <w:sz w:val="21"/>
          <w:szCs w:val="21"/>
        </w:rPr>
        <w:t xml:space="preserve">3.1 Сервисы моделей</w:t>
      </w:r>
      <w:r/>
    </w:p>
    <w:p>
      <w:pPr>
        <w:pBdr/>
        <w:spacing w:after="120" w:line="276" w:lineRule="auto"/>
        <w:ind/>
        <w:rPr/>
      </w:pPr>
      <w:r>
        <w:t xml:space="preserve">См. документ 1, раздел 3.</w:t>
      </w:r>
      <w:r/>
    </w:p>
    <w:p>
      <w:pPr>
        <w:pStyle w:val="722"/>
        <w:pBdr/>
        <w:spacing w:after="100" w:before="240"/>
        <w:ind/>
        <w:rPr/>
      </w:pPr>
      <w:r>
        <w:rPr>
          <w:rFonts w:ascii="Calibri" w:hAnsi="Calibri" w:eastAsia="Calibri" w:cs="Calibri"/>
          <w:b/>
          <w:bCs/>
          <w:color w:val="1f2a37"/>
          <w:sz w:val="21"/>
          <w:szCs w:val="21"/>
        </w:rPr>
        <w:t xml:space="preserve">3.2 Программные интерфейсы</w:t>
      </w:r>
      <w:r/>
    </w:p>
    <w:p>
      <w:pPr>
        <w:pBdr/>
        <w:spacing w:after="120" w:line="276" w:lineRule="auto"/>
        <w:ind/>
        <w:rPr/>
      </w:pPr>
      <w:r>
        <w:rPr>
          <w:b/>
          <w:bCs/>
        </w:rPr>
        <w:t xml:space="preserve">Реализовано:</w:t>
      </w:r>
      <w:r/>
    </w:p>
    <w:p>
      <w:pPr>
        <w:pStyle w:val="727"/>
        <w:numPr>
          <w:ilvl w:val="0"/>
          <w:numId w:val="3"/>
        </w:numPr>
        <w:pBdr/>
        <w:spacing w:after="60" w:line="276" w:lineRule="auto"/>
        <w:ind/>
        <w:rPr/>
      </w:pPr>
      <w:r>
        <w:t xml:space="preserve">интерфейс, совместимый с OpenAI Chat Completions, включая потоковый режим;</w:t>
      </w:r>
      <w:r/>
    </w:p>
    <w:p>
      <w:pPr>
        <w:pStyle w:val="727"/>
        <w:numPr>
          <w:ilvl w:val="0"/>
          <w:numId w:val="3"/>
        </w:numPr>
        <w:pBdr/>
        <w:spacing w:after="60" w:line="276" w:lineRule="auto"/>
        <w:ind/>
        <w:rPr/>
      </w:pPr>
      <w:r>
        <w:t xml:space="preserve">интерфейс, совместимый с Anthropic Messages, включая потоковый режим;</w:t>
      </w:r>
      <w:r/>
    </w:p>
    <w:p>
      <w:pPr>
        <w:pStyle w:val="727"/>
        <w:numPr>
          <w:ilvl w:val="0"/>
          <w:numId w:val="3"/>
        </w:numPr>
        <w:pBdr/>
        <w:spacing w:after="60" w:line="276" w:lineRule="auto"/>
        <w:ind/>
        <w:rPr/>
      </w:pPr>
      <w:r>
        <w:t xml:space="preserve">библиотека для встраивания в приложения на языке Python;</w:t>
      </w:r>
      <w:r/>
    </w:p>
    <w:p>
      <w:pPr>
        <w:pStyle w:val="727"/>
        <w:numPr>
          <w:ilvl w:val="0"/>
          <w:numId w:val="3"/>
        </w:numPr>
        <w:pBdr/>
        <w:spacing w:after="60" w:line="276" w:lineRule="auto"/>
        <w:ind/>
        <w:rPr/>
      </w:pPr>
      <w:r>
        <w:t xml:space="preserve">интеграция с фреймворком LangChain;</w:t>
      </w:r>
      <w:r/>
    </w:p>
    <w:p>
      <w:pPr>
        <w:pStyle w:val="727"/>
        <w:numPr>
          <w:ilvl w:val="0"/>
          <w:numId w:val="3"/>
        </w:numPr>
        <w:pBdr/>
        <w:spacing w:after="60" w:line="276" w:lineRule="auto"/>
        <w:ind/>
        <w:rPr/>
      </w:pPr>
      <w:r>
        <w:t xml:space="preserve">интерфейс MCP — перечисление и вызов инструментов.</w:t>
      </w:r>
      <w:r/>
    </w:p>
    <w:p>
      <w:pPr>
        <w:pStyle w:val="722"/>
        <w:pBdr/>
        <w:spacing w:after="100" w:before="240"/>
        <w:ind/>
        <w:rPr/>
      </w:pPr>
      <w:r>
        <w:rPr>
          <w:rFonts w:ascii="Calibri" w:hAnsi="Calibri" w:eastAsia="Calibri" w:cs="Calibri"/>
          <w:b/>
          <w:bCs/>
          <w:color w:val="1f2a37"/>
          <w:sz w:val="21"/>
          <w:szCs w:val="21"/>
        </w:rPr>
        <w:t xml:space="preserve">3.3 Форматы файлов</w:t>
      </w:r>
      <w:r/>
    </w:p>
    <w:p>
      <w:pPr>
        <w:pBdr/>
        <w:spacing w:after="120" w:line="276" w:lineRule="auto"/>
        <w:ind/>
        <w:rPr/>
      </w:pPr>
      <w:r>
        <w:t xml:space="preserve">Обрабатываются: PDF, DOCX, DOC, TXT, MD, а также табличные данные — CSV, XLSX, JSON, XML.</w:t>
      </w:r>
      <w:r/>
    </w:p>
    <w:p>
      <w:pPr>
        <w:pBdr/>
        <w:spacing w:after="120" w:line="276" w:lineRule="auto"/>
        <w:ind/>
        <w:rPr/>
      </w:pPr>
      <w:r>
        <w:t xml:space="preserve">Ограничение на размер файла — 50 МБ, настраивается.</w:t>
      </w:r>
      <w:r/>
    </w:p>
    <w:p>
      <w:pPr>
        <w:pBdr/>
        <w:spacing w:after="120" w:line="276" w:lineRule="auto"/>
        <w:ind/>
        <w:jc w:val="both"/>
        <w:rPr/>
      </w:pPr>
      <w:r>
        <w:rPr>
          <w:b/>
          <w:bCs/>
        </w:rPr>
        <w:t xml:space="preserve">Не поддерживается:</w:t>
      </w:r>
      <w:r>
        <w:t xml:space="preserve"> распознава</w:t>
      </w:r>
      <w:r>
        <w:t xml:space="preserve">ние текста на отсканированных изображениях. Документы без текстового слоя обрабатываются только при подключении мультимодальной модели, формирующей описание страницы. Обработанный документ возвращается в виде текста; исходное форматирование не сохраняется.</w:t>
      </w:r>
      <w:r/>
    </w:p>
    <w:p>
      <w:pPr>
        <w:pStyle w:val="721"/>
        <w:pBdr>
          <w:bottom w:val="single" w:color="c9d2da" w:sz="6" w:space="6"/>
        </w:pBdr>
        <w:spacing w:after="140" w:before="320"/>
        <w:ind/>
        <w:rPr/>
      </w:pPr>
      <w:r>
        <w:rPr>
          <w:rFonts w:ascii="Calibri" w:hAnsi="Calibri" w:eastAsia="Calibri" w:cs="Calibri"/>
          <w:b/>
          <w:bCs/>
          <w:color w:val="1b4b6b"/>
          <w:sz w:val="24"/>
          <w:szCs w:val="24"/>
        </w:rPr>
        <w:t xml:space="preserve">4. Контроль прямых обращений к внешним сервисам в обход платформы</w:t>
      </w:r>
      <w:r/>
    </w:p>
    <w:p>
      <w:pPr>
        <w:pBdr/>
        <w:spacing w:after="120" w:line="276" w:lineRule="auto"/>
        <w:ind/>
        <w:jc w:val="both"/>
        <w:rPr/>
      </w:pPr>
      <w:r>
        <w:rPr>
          <w:b/>
          <w:bCs/>
        </w:rPr>
        <w:t xml:space="preserve">Обозначаем прямо: это не является функцией компонента, и мы не заявляем такую возможность.</w:t>
      </w:r>
      <w:r/>
    </w:p>
    <w:p>
      <w:pPr>
        <w:pBdr/>
        <w:spacing w:after="120" w:line="276" w:lineRule="auto"/>
        <w:ind/>
        <w:jc w:val="both"/>
        <w:rPr/>
      </w:pPr>
      <w:r>
        <w:t xml:space="preserve">Компонент осуществляет контроль на маршруте обращения. Перекрытие обходных путей — сетевая задача, решаемая средствами защиты периметра организации.</w:t>
      </w:r>
      <w:r/>
    </w:p>
    <w:p>
      <w:pPr>
        <w:pBdr/>
        <w:spacing w:after="120" w:line="276" w:lineRule="auto"/>
        <w:ind/>
        <w:rPr/>
      </w:pPr>
      <w:r>
        <w:rPr>
          <w:b/>
          <w:bCs/>
        </w:rPr>
        <w:t xml:space="preserve">Целевая схема, которую мы рекомендуем и поддерживаем при внедрении:</w:t>
      </w:r>
      <w:r/>
    </w:p>
    <w:p>
      <w:pPr>
        <w:pStyle w:val="727"/>
        <w:numPr>
          <w:ilvl w:val="0"/>
          <w:numId w:val="4"/>
        </w:numPr>
        <w:pBdr/>
        <w:spacing w:after="60" w:line="276" w:lineRule="auto"/>
        <w:ind/>
        <w:rPr/>
      </w:pPr>
      <w:r>
        <w:t xml:space="preserve">Контур платформы назначается единственной точкой, которой разрешены исходящие обращения к адресам сервисов языковых моделей.</w:t>
      </w:r>
      <w:r/>
    </w:p>
    <w:p>
      <w:pPr>
        <w:pStyle w:val="727"/>
        <w:numPr>
          <w:ilvl w:val="0"/>
          <w:numId w:val="4"/>
        </w:numPr>
        <w:pBdr/>
        <w:spacing w:after="60" w:line="276" w:lineRule="auto"/>
        <w:ind/>
        <w:rPr/>
      </w:pPr>
      <w:r>
        <w:t xml:space="preserve">Для всех прочих узлов сети обращения к этим адресам блокируются на межсетевом экране либо на средстве контроля веб-трафика.</w:t>
      </w:r>
      <w:r/>
    </w:p>
    <w:p>
      <w:pPr>
        <w:pStyle w:val="727"/>
        <w:numPr>
          <w:ilvl w:val="0"/>
          <w:numId w:val="4"/>
        </w:numPr>
        <w:pBdr/>
        <w:spacing w:after="60" w:line="276" w:lineRule="auto"/>
        <w:ind/>
        <w:rPr/>
      </w:pPr>
      <w:r>
        <w:t xml:space="preserve">Перечень адресов, подлежащих блокировке, предоставляется нами и поддерживается в актуальном состоянии.</w:t>
      </w:r>
      <w:r/>
    </w:p>
    <w:p>
      <w:pPr>
        <w:pStyle w:val="727"/>
        <w:numPr>
          <w:ilvl w:val="0"/>
          <w:numId w:val="4"/>
        </w:numPr>
        <w:pBdr/>
        <w:spacing w:after="60" w:line="276" w:lineRule="auto"/>
        <w:ind/>
        <w:rPr/>
      </w:pPr>
      <w:r>
        <w:t xml:space="preserve">Попытки обращения в обход фиксируются средствами защиты периметра и являются основанием для реагирования.</w:t>
      </w:r>
      <w:r/>
    </w:p>
    <w:p>
      <w:pPr>
        <w:pBdr/>
        <w:spacing w:after="120" w:line="276" w:lineRule="auto"/>
        <w:ind/>
        <w:jc w:val="both"/>
        <w:rPr/>
      </w:pPr>
      <w:r>
        <w:t xml:space="preserve">При использовании модели, размещённой в инфраструктуре организации, задача упрощается: обращения к внешним адресам моделей блокируются полностью, без исключений.</w:t>
      </w:r>
      <w:r/>
    </w:p>
    <w:p>
      <w:pPr>
        <w:pBdr/>
        <w:spacing w:after="120" w:line="276" w:lineRule="auto"/>
        <w:ind/>
        <w:jc w:val="both"/>
        <w:rPr/>
      </w:pPr>
      <w:r>
        <w:t xml:space="preserve">Мы считаем некорректным заявлять контроль обхода периметра как функцию прикладного решения. Такое заявление не выдерживает проверки и создаёт ложное представление о защищённости.</w:t>
      </w:r>
      <w:r/>
    </w:p>
    <w:p>
      <w:pPr>
        <w:pStyle w:val="721"/>
        <w:pBdr>
          <w:bottom w:val="single" w:color="c9d2da" w:sz="6" w:space="6"/>
        </w:pBdr>
        <w:spacing w:after="140" w:before="320"/>
        <w:ind/>
        <w:rPr/>
      </w:pPr>
      <w:r>
        <w:rPr>
          <w:rFonts w:ascii="Calibri" w:hAnsi="Calibri" w:eastAsia="Calibri" w:cs="Calibri"/>
          <w:b/>
          <w:bCs/>
          <w:color w:val="1b4b6b"/>
          <w:sz w:val="24"/>
          <w:szCs w:val="24"/>
        </w:rPr>
        <w:t xml:space="preserve">5. Интеграции</w:t>
      </w:r>
      <w:r/>
    </w:p>
    <w:p>
      <w:pPr>
        <w:pStyle w:val="722"/>
        <w:pBdr/>
        <w:spacing w:after="100" w:before="240"/>
        <w:ind/>
        <w:rPr/>
      </w:pPr>
      <w:r>
        <w:rPr>
          <w:rFonts w:ascii="Calibri" w:hAnsi="Calibri" w:eastAsia="Calibri" w:cs="Calibri"/>
          <w:b/>
          <w:bCs/>
          <w:color w:val="1f2a37"/>
          <w:sz w:val="21"/>
          <w:szCs w:val="21"/>
        </w:rPr>
        <w:t xml:space="preserve">5.1 Каталог учётных записей</w:t>
      </w:r>
      <w:r/>
    </w:p>
    <w:p>
      <w:pPr>
        <w:pBdr/>
        <w:spacing w:after="120" w:line="276" w:lineRule="auto"/>
        <w:ind/>
        <w:jc w:val="both"/>
        <w:rPr/>
      </w:pPr>
      <w:r>
        <w:rPr>
          <w:b/>
          <w:bCs/>
        </w:rPr>
        <w:t xml:space="preserve">Реализовано.</w:t>
      </w:r>
      <w:r>
        <w:t xml:space="preserve"> Аутентификация выполняется на уровне платформы; компоненты проверяют выданный платформой токен доступа.</w:t>
      </w:r>
      <w:r/>
    </w:p>
    <w:p>
      <w:pPr>
        <w:pBdr/>
        <w:spacing w:after="120" w:line="276" w:lineRule="auto"/>
        <w:ind/>
        <w:rPr/>
      </w:pPr>
      <w:r>
        <w:t xml:space="preserve">Поддерживаемые способы аутентификации:</w:t>
      </w:r>
      <w:r/>
    </w:p>
    <w:tbl>
      <w:tblPr>
        <w:tblW w:w="9026" w:type="dxa"/>
        <w:tblBorders>
          <w:top w:val="single" w:color="c9d2da" w:sz="4" w:space="0"/>
          <w:left w:val="single" w:color="c9d2da" w:sz="4" w:space="0"/>
          <w:bottom w:val="single" w:color="c9d2da" w:sz="4" w:space="0"/>
          <w:right w:val="single" w:color="c9d2da" w:sz="4" w:space="0"/>
          <w:insideH w:val="single" w:color="c9d2da" w:sz="4" w:space="0"/>
          <w:insideV w:val="single" w:color="c9d2da" w:sz="4" w:space="0"/>
        </w:tblBorders>
        <w:tblLook w:val="04A0" w:firstRow="1" w:lastRow="0" w:firstColumn="1" w:lastColumn="0" w:noHBand="0" w:noVBand="1"/>
      </w:tblPr>
      <w:tblGrid>
        <w:gridCol w:w="4513"/>
        <w:gridCol w:w="4513"/>
      </w:tblGrid>
      <w:tr>
        <w:trPr>
          <w:tblHeader/>
        </w:trPr>
        <w:tc>
          <w:tcPr>
            <w:shd w:val="clear" w:color="auto" w:fill="edf1f4"/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4513" w:type="dxa"/>
            <w:textDirection w:val="lrTb"/>
            <w:noWrap w:val="false"/>
          </w:tcPr>
          <w:p>
            <w:pPr>
              <w:pBdr/>
              <w:spacing w:after="0" w:line="260" w:lineRule="auto"/>
              <w:ind/>
              <w:rPr/>
            </w:pPr>
            <w:r>
              <w:rPr>
                <w:b/>
                <w:bCs/>
                <w:sz w:val="19"/>
                <w:szCs w:val="19"/>
              </w:rPr>
              <w:t xml:space="preserve">Способ</w:t>
            </w:r>
            <w:r/>
          </w:p>
        </w:tc>
        <w:tc>
          <w:tcPr>
            <w:shd w:val="clear" w:color="auto" w:fill="edf1f4"/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4513" w:type="dxa"/>
            <w:textDirection w:val="lrTb"/>
            <w:noWrap w:val="false"/>
          </w:tcPr>
          <w:p>
            <w:pPr>
              <w:pBdr/>
              <w:spacing w:after="0" w:line="260" w:lineRule="auto"/>
              <w:ind/>
              <w:rPr/>
            </w:pPr>
            <w:r>
              <w:rPr>
                <w:b/>
                <w:bCs/>
                <w:sz w:val="19"/>
                <w:szCs w:val="19"/>
              </w:rPr>
              <w:t xml:space="preserve">Статус</w:t>
            </w:r>
            <w:r/>
          </w:p>
        </w:tc>
      </w:tr>
      <w:tr>
        <w:trPr/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4513" w:type="dxa"/>
            <w:textDirection w:val="lrTb"/>
            <w:noWrap w:val="false"/>
          </w:tcPr>
          <w:p>
            <w:pPr>
              <w:pBdr/>
              <w:spacing w:after="0" w:line="260" w:lineRule="auto"/>
              <w:ind/>
              <w:rPr/>
            </w:pPr>
            <w:r>
              <w:rPr>
                <w:sz w:val="19"/>
                <w:szCs w:val="19"/>
              </w:rPr>
              <w:t xml:space="preserve">Встроенная (логин/пароль)</w:t>
            </w:r>
            <w:r/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4513" w:type="dxa"/>
            <w:textDirection w:val="lrTb"/>
            <w:noWrap w:val="false"/>
          </w:tcPr>
          <w:p>
            <w:pPr>
              <w:pBdr/>
              <w:spacing w:after="0" w:line="260" w:lineRule="auto"/>
              <w:ind/>
              <w:rPr/>
            </w:pPr>
            <w:r>
              <w:rPr>
                <w:sz w:val="19"/>
                <w:szCs w:val="19"/>
              </w:rPr>
              <w:t xml:space="preserve">Реализовано, применяется по умолчанию</w:t>
            </w:r>
            <w:r/>
          </w:p>
        </w:tc>
      </w:tr>
      <w:tr>
        <w:trPr/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4513" w:type="dxa"/>
            <w:textDirection w:val="lrTb"/>
            <w:noWrap w:val="false"/>
          </w:tcPr>
          <w:p>
            <w:pPr>
              <w:pBdr/>
              <w:spacing w:after="0" w:line="260" w:lineRule="auto"/>
              <w:ind/>
              <w:rPr/>
            </w:pPr>
            <w:r>
              <w:rPr>
                <w:sz w:val="19"/>
                <w:szCs w:val="19"/>
              </w:rPr>
              <w:t xml:space="preserve">LDAP / Active Directory</w:t>
            </w:r>
            <w:r/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4513" w:type="dxa"/>
            <w:textDirection w:val="lrTb"/>
            <w:noWrap w:val="false"/>
          </w:tcPr>
          <w:p>
            <w:pPr>
              <w:pBdr/>
              <w:spacing w:after="0" w:line="260" w:lineRule="auto"/>
              <w:ind/>
              <w:rPr/>
            </w:pPr>
            <w:r>
              <w:rPr>
                <w:sz w:val="19"/>
                <w:szCs w:val="19"/>
              </w:rPr>
              <w:t xml:space="preserve">Реализовано</w:t>
            </w:r>
            <w:r/>
          </w:p>
        </w:tc>
      </w:tr>
      <w:tr>
        <w:trPr/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4513" w:type="dxa"/>
            <w:textDirection w:val="lrTb"/>
            <w:noWrap w:val="false"/>
          </w:tcPr>
          <w:p>
            <w:pPr>
              <w:pBdr/>
              <w:spacing w:after="0" w:line="260" w:lineRule="auto"/>
              <w:ind/>
              <w:rPr/>
            </w:pPr>
            <w:r>
              <w:rPr>
                <w:sz w:val="19"/>
                <w:szCs w:val="19"/>
              </w:rPr>
              <w:t xml:space="preserve">SAML 2.0</w:t>
            </w:r>
            <w:r/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4513" w:type="dxa"/>
            <w:textDirection w:val="lrTb"/>
            <w:noWrap w:val="false"/>
          </w:tcPr>
          <w:p>
            <w:pPr>
              <w:pBdr/>
              <w:spacing w:after="0" w:line="260" w:lineRule="auto"/>
              <w:ind/>
              <w:rPr/>
            </w:pPr>
            <w:r>
              <w:rPr>
                <w:sz w:val="19"/>
                <w:szCs w:val="19"/>
              </w:rPr>
              <w:t xml:space="preserve">Реализовано</w:t>
            </w:r>
            <w:r/>
          </w:p>
        </w:tc>
      </w:tr>
      <w:tr>
        <w:trPr/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4513" w:type="dxa"/>
            <w:textDirection w:val="lrTb"/>
            <w:noWrap w:val="false"/>
          </w:tcPr>
          <w:p>
            <w:pPr>
              <w:pBdr/>
              <w:spacing w:after="0" w:line="260" w:lineRule="auto"/>
              <w:ind/>
              <w:rPr/>
            </w:pPr>
            <w:r>
              <w:rPr>
                <w:sz w:val="19"/>
                <w:szCs w:val="19"/>
              </w:rPr>
              <w:t xml:space="preserve">OpenID Connect / OAuth 2.0 (в том числе Azure AD, Okta, Auth0, Google, AWS Cognito, произвольный провайдер)</w:t>
            </w:r>
            <w:r/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4513" w:type="dxa"/>
            <w:textDirection w:val="lrTb"/>
            <w:noWrap w:val="false"/>
          </w:tcPr>
          <w:p>
            <w:pPr>
              <w:pBdr/>
              <w:spacing w:after="0" w:line="260" w:lineRule="auto"/>
              <w:ind/>
              <w:rPr/>
            </w:pPr>
            <w:r>
              <w:rPr>
                <w:sz w:val="19"/>
                <w:szCs w:val="19"/>
              </w:rPr>
              <w:t xml:space="preserve">Реализовано</w:t>
            </w:r>
            <w:r/>
          </w:p>
        </w:tc>
      </w:tr>
    </w:tbl>
    <w:p>
      <w:pPr>
        <w:pBdr/>
        <w:spacing w:after="120"/>
        <w:ind/>
        <w:rPr/>
      </w:pPr>
      <w:r/>
      <w:r/>
    </w:p>
    <w:p>
      <w:pPr>
        <w:pBdr/>
        <w:spacing w:after="120" w:line="276" w:lineRule="auto"/>
        <w:ind/>
        <w:jc w:val="both"/>
        <w:rPr/>
      </w:pPr>
      <w:r>
        <w:t xml:space="preserve">Для LDAP реализовано сопоставление групп каталога с ролями платформы по различающемуся имени группы, включая переназначение ролей при изменении членства.</w:t>
      </w:r>
      <w:r/>
    </w:p>
    <w:p>
      <w:pPr>
        <w:pBdr/>
        <w:spacing w:after="120" w:line="276" w:lineRule="auto"/>
        <w:ind/>
        <w:jc w:val="both"/>
        <w:rPr/>
      </w:pPr>
      <w:r>
        <w:t xml:space="preserve">Проверка токенов выполняется по опубликованному набору ключей; алгоритмы RS256/RS384/RS512, ES256/ES384/ES512. Сопоставление идентификационных утверждений токена настраивается.</w:t>
      </w:r>
      <w:r/>
    </w:p>
    <w:p>
      <w:pPr>
        <w:pBdr/>
        <w:spacing w:after="120" w:line="276" w:lineRule="auto"/>
        <w:ind/>
        <w:rPr/>
      </w:pPr>
      <w:r>
        <w:rPr>
          <w:b/>
          <w:bCs/>
        </w:rPr>
        <w:t xml:space="preserve">Не поддерживается:</w:t>
      </w:r>
      <w:r>
        <w:t xml:space="preserve"> Kerberos / SPNEGO.</w:t>
      </w:r>
      <w:r/>
    </w:p>
    <w:p>
      <w:pPr>
        <w:pStyle w:val="722"/>
        <w:pBdr/>
        <w:spacing w:after="100" w:before="240"/>
        <w:ind/>
        <w:rPr/>
      </w:pPr>
      <w:r>
        <w:rPr>
          <w:rFonts w:ascii="Calibri" w:hAnsi="Calibri" w:eastAsia="Calibri" w:cs="Calibri"/>
          <w:b/>
          <w:bCs/>
          <w:color w:val="1f2a37"/>
          <w:sz w:val="21"/>
          <w:szCs w:val="21"/>
        </w:rPr>
        <w:t xml:space="preserve">5.2 Системы управления событиями безопасности (SIEM)</w:t>
      </w:r>
      <w:r/>
    </w:p>
    <w:p>
      <w:pPr>
        <w:pBdr/>
        <w:spacing w:after="120" w:line="276" w:lineRule="auto"/>
        <w:ind/>
        <w:rPr/>
      </w:pPr>
      <w:r>
        <w:rPr>
          <w:b/>
          <w:bCs/>
        </w:rPr>
        <w:t xml:space="preserve">Реализовано.</w:t>
      </w:r>
      <w:r>
        <w:t xml:space="preserve"> Передача событий аудита во внешнюю систему:</w:t>
      </w:r>
      <w:r/>
    </w:p>
    <w:p>
      <w:pPr>
        <w:pStyle w:val="727"/>
        <w:numPr>
          <w:ilvl w:val="0"/>
          <w:numId w:val="3"/>
        </w:numPr>
        <w:pBdr/>
        <w:spacing w:after="60" w:line="276" w:lineRule="auto"/>
        <w:ind/>
        <w:rPr/>
      </w:pPr>
      <w:r>
        <w:t xml:space="preserve">форматы: CEF, JSON (схема ECS);</w:t>
      </w:r>
      <w:r/>
    </w:p>
    <w:p>
      <w:pPr>
        <w:pStyle w:val="727"/>
        <w:numPr>
          <w:ilvl w:val="0"/>
          <w:numId w:val="3"/>
        </w:numPr>
        <w:pBdr/>
        <w:spacing w:after="60" w:line="276" w:lineRule="auto"/>
        <w:ind/>
        <w:rPr/>
      </w:pPr>
      <w:r>
        <w:t xml:space="preserve">транспорт: syslog RFC 5424, HTTP;</w:t>
      </w:r>
      <w:r/>
    </w:p>
    <w:p>
      <w:pPr>
        <w:pStyle w:val="727"/>
        <w:numPr>
          <w:ilvl w:val="0"/>
          <w:numId w:val="3"/>
        </w:numPr>
        <w:pBdr/>
        <w:spacing w:after="60" w:line="276" w:lineRule="auto"/>
        <w:ind/>
        <w:rPr/>
      </w:pPr>
      <w:r>
        <w:t xml:space="preserve">надёжность доставки: очередь с повторными попытками и хранилищем недоставленных событий.</w:t>
      </w:r>
      <w:r/>
    </w:p>
    <w:p>
      <w:pPr>
        <w:pBdr/>
        <w:spacing w:after="120" w:line="276" w:lineRule="auto"/>
        <w:ind/>
        <w:rPr/>
      </w:pPr>
      <w:r>
        <w:t xml:space="preserve">Передача отключена в конфигурации по умолчанию и включается при внедрении.</w:t>
      </w:r>
      <w:r/>
    </w:p>
    <w:p>
      <w:pPr>
        <w:pBdr/>
        <w:spacing w:after="120" w:line="276" w:lineRule="auto"/>
        <w:ind/>
        <w:jc w:val="both"/>
        <w:rPr>
          <w:bCs w:val="0"/>
          <w:i w:val="0"/>
        </w:rPr>
      </w:pPr>
      <w:r>
        <w:rPr>
          <w:i/>
          <w:iCs/>
        </w:rPr>
      </w:r>
      <w:r>
        <w:rPr>
          <w:i w:val="0"/>
          <w:iCs w:val="0"/>
        </w:rPr>
        <w:t xml:space="preserve">Используются стандартные форматы и транспорты; подключение к системе </w:t>
      </w:r>
      <w:r>
        <w:rPr>
          <w:i w:val="0"/>
          <w:iCs w:val="0"/>
        </w:rPr>
        <w:t xml:space="preserve">SIEM организации выполняется и проверяется в рамках пилота.</w:t>
      </w:r>
      <w:r>
        <w:rPr>
          <w:i w:val="0"/>
          <w:iCs w:val="0"/>
        </w:rPr>
      </w:r>
    </w:p>
    <w:p>
      <w:pPr>
        <w:pBdr/>
        <w:spacing w:after="120" w:line="276" w:lineRule="auto"/>
        <w:ind/>
        <w:jc w:val="both"/>
        <w:rPr/>
      </w:pPr>
      <w:r>
        <w:t xml:space="preserve">Для компонентов платформы, не относящихся к контуру контроля обращений, события формируются в структурированном формате и доступны для сбора штатными средствами.</w:t>
      </w:r>
      <w:r/>
    </w:p>
    <w:p>
      <w:pPr>
        <w:pStyle w:val="722"/>
        <w:pBdr/>
        <w:spacing w:after="100" w:before="240"/>
        <w:ind/>
        <w:rPr/>
      </w:pPr>
      <w:r>
        <w:rPr>
          <w:rFonts w:ascii="Calibri" w:hAnsi="Calibri" w:eastAsia="Calibri" w:cs="Calibri"/>
          <w:b/>
          <w:bCs/>
          <w:color w:val="1f2a37"/>
          <w:sz w:val="21"/>
          <w:szCs w:val="21"/>
        </w:rPr>
        <w:t xml:space="preserve">5.3 Системы предотвращения утечек (DLP)</w:t>
      </w:r>
      <w:r/>
    </w:p>
    <w:p>
      <w:pPr>
        <w:pBdr/>
        <w:spacing w:after="120" w:line="276" w:lineRule="auto"/>
        <w:ind/>
        <w:rPr/>
      </w:pPr>
      <w:r>
        <w:rPr>
          <w:b/>
          <w:bCs/>
        </w:rPr>
        <w:t xml:space="preserve">Не поддерживается интеграция со сторонними системами DLP.</w:t>
      </w:r>
      <w:r/>
    </w:p>
    <w:p>
      <w:pPr>
        <w:pBdr/>
        <w:spacing w:after="120" w:line="276" w:lineRule="auto"/>
        <w:ind/>
        <w:jc w:val="both"/>
        <w:rPr/>
      </w:pPr>
      <w:r>
        <w:t xml:space="preserve">В составе платформы реализован собственный</w:t>
      </w:r>
      <w:r>
        <w:t xml:space="preserve"> механизм контроля передачи сведений ограниченного распространения: классификация текста, база защищаемых сведений, матрица допустимых получателей, режим блокировки либо направления на рассмотрение. Механизм работает автономно и не требует внешней системы.</w:t>
      </w:r>
      <w:r/>
    </w:p>
    <w:p>
      <w:pPr>
        <w:pBdr/>
        <w:spacing w:after="120" w:line="276" w:lineRule="auto"/>
        <w:ind/>
        <w:rPr/>
      </w:pPr>
      <w:r>
        <w:t xml:space="preserve">Интеграция со сторонними системами DLP — при наличии требования прорабатывается отдельно.</w:t>
      </w:r>
      <w:r/>
    </w:p>
    <w:p>
      <w:pPr>
        <w:pStyle w:val="722"/>
        <w:pBdr/>
        <w:spacing w:after="100" w:before="240"/>
        <w:ind/>
        <w:rPr/>
      </w:pPr>
      <w:r>
        <w:rPr>
          <w:rFonts w:ascii="Calibri" w:hAnsi="Calibri" w:eastAsia="Calibri" w:cs="Calibri"/>
          <w:b/>
          <w:bCs/>
          <w:color w:val="1f2a37"/>
          <w:sz w:val="21"/>
          <w:szCs w:val="21"/>
        </w:rPr>
        <w:t xml:space="preserve">5.4 Корпоративный прокси-сервер и доверенные сертификаты</w:t>
      </w:r>
      <w:r/>
    </w:p>
    <w:p>
      <w:pPr>
        <w:pBdr/>
        <w:spacing w:after="120" w:line="276" w:lineRule="auto"/>
        <w:ind/>
        <w:jc w:val="both"/>
        <w:rPr/>
      </w:pPr>
      <w:r>
        <w:rPr>
          <w:b/>
          <w:bCs/>
        </w:rPr>
        <w:t xml:space="preserve">Реализовано.</w:t>
      </w:r>
      <w:r>
        <w:t xml:space="preserve"> Исходящие обращения выполняются с обязательной проверкой сертификата удалённой стороны. Поддерживаются:</w:t>
      </w:r>
      <w:r/>
    </w:p>
    <w:p>
      <w:pPr>
        <w:pStyle w:val="727"/>
        <w:numPr>
          <w:ilvl w:val="0"/>
          <w:numId w:val="3"/>
        </w:numPr>
        <w:pBdr/>
        <w:spacing w:after="60" w:line="276" w:lineRule="auto"/>
        <w:ind/>
        <w:jc w:val="both"/>
        <w:rPr/>
      </w:pPr>
      <w:r>
        <w:t xml:space="preserve">указание набора доверенных корневых сертификатов организации — для контуров с собственным удостоверяющим центром;</w:t>
      </w:r>
      <w:r/>
    </w:p>
    <w:p>
      <w:pPr>
        <w:pStyle w:val="727"/>
        <w:numPr>
          <w:ilvl w:val="0"/>
          <w:numId w:val="3"/>
        </w:numPr>
        <w:pBdr/>
        <w:spacing w:after="60" w:line="276" w:lineRule="auto"/>
        <w:ind/>
        <w:jc w:val="both"/>
        <w:rPr/>
      </w:pPr>
      <w:r>
        <w:t xml:space="preserve">работа через прокси-сервер организации, задаваемый стандартными переменными окружения;</w:t>
      </w:r>
      <w:r/>
    </w:p>
    <w:p>
      <w:pPr>
        <w:pStyle w:val="727"/>
        <w:numPr>
          <w:ilvl w:val="0"/>
          <w:numId w:val="3"/>
        </w:numPr>
        <w:pBdr/>
        <w:spacing w:after="60" w:line="276" w:lineRule="auto"/>
        <w:ind/>
        <w:jc w:val="both"/>
        <w:rPr/>
      </w:pPr>
      <w:r>
        <w:t xml:space="preserve">раздельная политика для внутренних узлов контура, использующих самоподписанные сертификаты.</w:t>
      </w:r>
      <w:r/>
    </w:p>
    <w:p>
      <w:pPr>
        <w:pBdr/>
        <w:spacing w:after="120" w:line="276" w:lineRule="auto"/>
        <w:ind/>
        <w:rPr/>
      </w:pPr>
      <w:r>
        <w:rPr>
          <w:b/>
          <w:bCs/>
        </w:rPr>
        <w:t xml:space="preserve">Дорожная карта:</w:t>
      </w:r>
      <w:r>
        <w:t xml:space="preserve"> работа через прокси-сервер, требующий аутентификации. Срок 4 </w:t>
      </w:r>
      <w:r>
        <w:rPr>
          <w:lang w:val="ru-RU"/>
        </w:rPr>
        <w:t xml:space="preserve">кв 2026 г.</w:t>
      </w:r>
      <w:r/>
      <w:r/>
    </w:p>
    <w:p>
      <w:pPr>
        <w:pBdr/>
        <w:spacing w:after="120" w:line="276" w:lineRule="auto"/>
        <w:ind/>
        <w:jc w:val="both"/>
        <w:rPr/>
      </w:pPr>
      <w:r>
        <w:t xml:space="preserve">При использовании модели, размещённой в инфраструктуре организации, требование к прокси-серверу неприменимо — исходящие обращения отсутствуют.</w:t>
      </w:r>
      <w:r/>
    </w:p>
    <w:p>
      <w:pPr>
        <w:pStyle w:val="722"/>
        <w:pBdr/>
        <w:spacing w:after="100" w:before="240"/>
        <w:ind/>
        <w:rPr/>
      </w:pPr>
      <w:r>
        <w:rPr>
          <w:rFonts w:ascii="Calibri" w:hAnsi="Calibri" w:eastAsia="Calibri" w:cs="Calibri"/>
          <w:b/>
          <w:bCs/>
          <w:color w:val="1f2a37"/>
          <w:sz w:val="21"/>
          <w:szCs w:val="21"/>
        </w:rPr>
        <w:t xml:space="preserve">5.5 Хранилища секретов</w:t>
      </w:r>
      <w:r/>
    </w:p>
    <w:p>
      <w:pPr>
        <w:pBdr/>
        <w:spacing w:after="120" w:line="276" w:lineRule="auto"/>
        <w:ind/>
        <w:jc w:val="both"/>
        <w:rPr/>
      </w:pPr>
      <w:r>
        <w:t xml:space="preserve">Учё</w:t>
      </w:r>
      <w:r>
        <w:t xml:space="preserve">тные данные подключений хранятся в защищённом виде в конфигурации платформы. Интеграция с внешними хранилищами секретов реализована для каталога метаданных (поддерживаются хранилища ключей облачных провайдеров и Kubernetes Secrets), отключена по умолчанию.</w:t>
      </w:r>
      <w:r/>
    </w:p>
    <w:p>
      <w:pPr>
        <w:pBdr/>
        <w:spacing w:after="120" w:line="276" w:lineRule="auto"/>
        <w:ind/>
        <w:jc w:val="both"/>
        <w:rPr/>
      </w:pPr>
      <w:r>
        <w:rPr>
          <w:b/>
          <w:bCs/>
        </w:rPr>
        <w:t xml:space="preserve">Дорожная карта:</w:t>
      </w:r>
      <w:r>
        <w:t xml:space="preserve"> интеграция с HashiCorp Vault для компонентов платформы.</w:t>
      </w:r>
      <w:r>
        <w:rPr>
          <w:lang w:val="undefined"/>
        </w:rPr>
        <w:t xml:space="preserve"> Срок </w:t>
      </w:r>
      <w:r>
        <w:rPr>
          <w:lang w:val="undefined"/>
        </w:rPr>
        <w:t xml:space="preserve">1 кв 2027 г</w:t>
      </w:r>
      <w:r>
        <w:rPr>
          <w:lang w:val="undefined"/>
        </w:rPr>
        <w:t xml:space="preserve">.</w:t>
      </w:r>
      <w:r/>
    </w:p>
    <w:p>
      <w:pPr>
        <w:pStyle w:val="721"/>
        <w:pBdr>
          <w:bottom w:val="single" w:color="c9d2da" w:sz="6" w:space="6"/>
        </w:pBdr>
        <w:spacing w:after="140" w:before="320"/>
        <w:ind/>
        <w:rPr/>
      </w:pPr>
      <w:r>
        <w:rPr>
          <w:rFonts w:ascii="Calibri" w:hAnsi="Calibri" w:eastAsia="Calibri" w:cs="Calibri"/>
          <w:b/>
          <w:bCs/>
          <w:color w:val="1b4b6b"/>
          <w:sz w:val="24"/>
          <w:szCs w:val="24"/>
        </w:rPr>
        <w:t xml:space="preserve">6. Локальная установка</w:t>
      </w:r>
      <w:r/>
    </w:p>
    <w:p>
      <w:pPr>
        <w:pBdr/>
        <w:spacing w:after="120" w:line="276" w:lineRule="auto"/>
        <w:ind/>
        <w:jc w:val="both"/>
        <w:rPr/>
      </w:pPr>
      <w:r>
        <w:rPr>
          <w:b/>
          <w:bCs/>
        </w:rPr>
        <w:t xml:space="preserve">Полностью локальная установка является основным и единственным вариантом поставки.</w:t>
      </w:r>
      <w:r>
        <w:t xml:space="preserve"> Иных вариантов не предусмотрено.</w:t>
      </w:r>
      <w:r/>
    </w:p>
    <w:p>
      <w:pPr>
        <w:pBdr/>
        <w:spacing w:after="120" w:line="276" w:lineRule="auto"/>
        <w:ind/>
        <w:jc w:val="both"/>
        <w:rPr/>
      </w:pPr>
      <w:r>
        <w:t xml:space="preserve">Все компоненты размещаются в инфраструктуре организации. Обращения во внешние</w:t>
      </w:r>
      <w:r>
        <w:t xml:space="preserve"> сети в процессе работы отсутствуют, за исключением обращений к сервису языковой модели, если организация выбрала внешний сервис. При использовании модели, размещённой в инфраструктуре организации, исходящий трафик за пределы контура отсутствует полностью.</w:t>
      </w:r>
      <w:r/>
    </w:p>
    <w:p>
      <w:pPr>
        <w:pBdr/>
        <w:spacing w:after="120" w:line="276" w:lineRule="auto"/>
        <w:ind/>
        <w:jc w:val="both"/>
        <w:rPr/>
      </w:pPr>
      <w:r>
        <w:t xml:space="preserve">Дистрибутив передаётся</w:t>
      </w:r>
      <w:r>
        <w:rPr>
          <w:lang w:val="ru-RU"/>
        </w:rPr>
        <w:t xml:space="preserve"> отдельно</w:t>
      </w:r>
      <w:r>
        <w:t xml:space="preserve">. Загрузка компонентов из внешних репозиториев в процессе работы не выполняется — это архитектурное ограничение, а не режим настройки.</w:t>
      </w:r>
      <w:r/>
    </w:p>
    <w:p>
      <w:pPr>
        <w:pBdr/>
        <w:spacing w:after="120" w:line="276" w:lineRule="auto"/>
        <w:ind/>
        <w:jc w:val="both"/>
        <w:rPr/>
      </w:pPr>
      <w:r>
        <w:t xml:space="preserve">Обновления передаются тем же порядком, с описанием состава изменений и процедурой проверки после установки.</w:t>
      </w:r>
      <w:r/>
    </w:p>
    <w:p>
      <w:pPr>
        <w:pStyle w:val="721"/>
        <w:pBdr>
          <w:bottom w:val="single" w:color="c9d2da" w:sz="6" w:space="6"/>
        </w:pBdr>
        <w:spacing w:after="140" w:before="320"/>
        <w:ind/>
        <w:rPr/>
      </w:pPr>
      <w:r>
        <w:rPr>
          <w:rFonts w:ascii="Calibri" w:hAnsi="Calibri" w:eastAsia="Calibri" w:cs="Calibri"/>
          <w:b/>
          <w:bCs/>
          <w:color w:val="1b4b6b"/>
          <w:sz w:val="24"/>
          <w:szCs w:val="24"/>
        </w:rPr>
        <w:t xml:space="preserve">7. Внедрения и пилотный проект</w:t>
      </w:r>
      <w:r/>
    </w:p>
    <w:p>
      <w:pPr>
        <w:pStyle w:val="722"/>
        <w:pBdr/>
        <w:spacing w:after="100" w:before="240"/>
        <w:ind/>
        <w:rPr/>
      </w:pPr>
      <w:r>
        <w:rPr>
          <w:rFonts w:ascii="Calibri" w:hAnsi="Calibri" w:eastAsia="Calibri" w:cs="Calibri"/>
          <w:b/>
          <w:bCs/>
          <w:color w:val="1f2a37"/>
          <w:sz w:val="21"/>
          <w:szCs w:val="21"/>
        </w:rPr>
        <w:t xml:space="preserve">7.1 Внедрения</w:t>
      </w:r>
      <w:r/>
    </w:p>
    <w:p>
      <w:pPr>
        <w:pBdr/>
        <w:spacing w:after="120" w:line="276" w:lineRule="auto"/>
        <w:ind/>
        <w:rPr/>
      </w:pPr>
      <w:r>
        <w:rPr>
          <w:rFonts w:ascii="Consolas" w:hAnsi="Consolas" w:eastAsia="Consolas" w:cs="Consolas"/>
          <w:sz w:val="18"/>
          <w:szCs w:val="18"/>
          <w:highlight w:val="yellow"/>
        </w:rPr>
        <w:t xml:space="preserve">[заполнить. Разделить промышленную эксплуатацию, пилотные проекты и демонстрационные стенды. Упоминание действующего заказчика — только после получения его согласия. Сведения об аттестациях и заключениях по результатам проверок ИБ — при наличии]</w:t>
      </w:r>
      <w:r/>
    </w:p>
    <w:p>
      <w:pPr>
        <w:pStyle w:val="722"/>
        <w:pBdr/>
        <w:spacing w:after="100" w:before="240"/>
        <w:ind/>
        <w:rPr/>
      </w:pPr>
      <w:r>
        <w:rPr>
          <w:rFonts w:ascii="Calibri" w:hAnsi="Calibri" w:eastAsia="Calibri" w:cs="Calibri"/>
          <w:b/>
          <w:bCs/>
          <w:color w:val="1f2a37"/>
          <w:sz w:val="21"/>
          <w:szCs w:val="21"/>
        </w:rPr>
        <w:t xml:space="preserve">7.2 Пилотный проект</w:t>
      </w:r>
      <w:r/>
    </w:p>
    <w:p>
      <w:pPr>
        <w:pBdr/>
        <w:spacing w:after="120" w:line="276" w:lineRule="auto"/>
        <w:ind/>
        <w:rPr/>
      </w:pPr>
      <w:r>
        <w:t xml:space="preserve">Проведение пилота предусмотрено. Типовая рамка:</w:t>
      </w:r>
      <w:r/>
    </w:p>
    <w:p>
      <w:pPr>
        <w:pBdr/>
        <w:spacing w:after="120" w:line="276" w:lineRule="auto"/>
        <w:ind/>
        <w:rPr/>
      </w:pPr>
      <w:r>
        <w:rPr>
          <w:b/>
          <w:bCs/>
        </w:rPr>
        <w:t xml:space="preserve">Длительность:</w:t>
      </w:r>
      <w:r>
        <w:t xml:space="preserve"> 6 недель.</w:t>
      </w:r>
      <w:r/>
    </w:p>
    <w:p>
      <w:pPr>
        <w:pBdr/>
        <w:spacing w:after="120" w:line="276" w:lineRule="auto"/>
        <w:ind/>
        <w:rPr/>
      </w:pPr>
      <w:r>
        <w:rPr>
          <w:b/>
          <w:bCs/>
        </w:rPr>
        <w:t xml:space="preserve">Состав работ:</w:t>
      </w:r>
      <w:r/>
    </w:p>
    <w:p>
      <w:pPr>
        <w:pStyle w:val="727"/>
        <w:numPr>
          <w:ilvl w:val="0"/>
          <w:numId w:val="3"/>
        </w:numPr>
        <w:pBdr/>
        <w:spacing w:after="60" w:line="276" w:lineRule="auto"/>
        <w:ind/>
        <w:rPr/>
      </w:pPr>
      <w:r>
        <w:t xml:space="preserve">развёртывание на изолированном стенде в инфраструктуре организации;</w:t>
      </w:r>
      <w:r/>
    </w:p>
    <w:p>
      <w:pPr>
        <w:pStyle w:val="727"/>
        <w:numPr>
          <w:ilvl w:val="0"/>
          <w:numId w:val="3"/>
        </w:numPr>
        <w:pBdr/>
        <w:spacing w:after="60" w:line="276" w:lineRule="auto"/>
        <w:ind/>
        <w:rPr/>
      </w:pPr>
      <w:r>
        <w:t xml:space="preserve">подключение двух источников данных по согласованию;</w:t>
      </w:r>
      <w:r/>
    </w:p>
    <w:p>
      <w:pPr>
        <w:pStyle w:val="727"/>
        <w:numPr>
          <w:ilvl w:val="0"/>
          <w:numId w:val="3"/>
        </w:numPr>
        <w:pBdr/>
        <w:spacing w:after="60" w:line="276" w:lineRule="auto"/>
        <w:ind/>
        <w:rPr/>
      </w:pPr>
      <w:r>
        <w:t xml:space="preserve">настройка ролевой модели на две роли с демонстрацией разграничения;</w:t>
      </w:r>
      <w:r/>
    </w:p>
    <w:p>
      <w:pPr>
        <w:pStyle w:val="727"/>
        <w:numPr>
          <w:ilvl w:val="0"/>
          <w:numId w:val="3"/>
        </w:numPr>
        <w:pBdr/>
        <w:spacing w:after="60" w:line="276" w:lineRule="auto"/>
        <w:ind/>
        <w:rPr/>
      </w:pPr>
      <w:r>
        <w:t xml:space="preserve">загрузка и индексация двух коллекций документов;</w:t>
      </w:r>
      <w:r/>
    </w:p>
    <w:p>
      <w:pPr>
        <w:pStyle w:val="727"/>
        <w:numPr>
          <w:ilvl w:val="0"/>
          <w:numId w:val="3"/>
        </w:numPr>
        <w:pBdr/>
        <w:spacing w:after="60" w:line="276" w:lineRule="auto"/>
        <w:ind/>
        <w:rPr/>
      </w:pPr>
      <w:r>
        <w:t xml:space="preserve">подключение языковой модели по выбору организации;</w:t>
      </w:r>
      <w:r/>
    </w:p>
    <w:p>
      <w:pPr>
        <w:pStyle w:val="727"/>
        <w:numPr>
          <w:ilvl w:val="0"/>
          <w:numId w:val="3"/>
        </w:numPr>
        <w:pBdr/>
        <w:spacing w:after="60" w:line="276" w:lineRule="auto"/>
        <w:ind/>
        <w:rPr/>
      </w:pPr>
      <w:r>
        <w:t xml:space="preserve">обучение пилотной группы;</w:t>
      </w:r>
      <w:r/>
    </w:p>
    <w:p>
      <w:pPr>
        <w:pStyle w:val="727"/>
        <w:numPr>
          <w:ilvl w:val="0"/>
          <w:numId w:val="3"/>
        </w:numPr>
        <w:pBdr/>
        <w:spacing w:after="60" w:line="276" w:lineRule="auto"/>
        <w:ind/>
        <w:rPr/>
      </w:pPr>
      <w:r>
        <w:t xml:space="preserve">сбор метрик и итоговый отчёт.</w:t>
      </w:r>
      <w:r/>
    </w:p>
    <w:p>
      <w:pPr>
        <w:pBdr/>
        <w:spacing w:after="120" w:line="276" w:lineRule="auto"/>
        <w:ind/>
        <w:jc w:val="both"/>
        <w:rPr/>
      </w:pPr>
      <w:r>
        <w:rPr>
          <w:b/>
          <w:bCs/>
        </w:rPr>
        <w:t xml:space="preserve">Не входит:</w:t>
      </w:r>
      <w:r>
        <w:t xml:space="preserve"> промышленная эксплуатация, нагрузочное тестирование и гарантии производительности, доработки функциональности сверх согласованного состава, стоимость инфраструктуры и оплата обращений к внешней модели.</w:t>
      </w:r>
      <w:r/>
    </w:p>
    <w:p>
      <w:pPr>
        <w:pBdr/>
        <w:spacing w:after="120" w:line="276" w:lineRule="auto"/>
        <w:ind/>
        <w:jc w:val="both"/>
        <w:rPr/>
      </w:pPr>
      <w:r>
        <w:rPr>
          <w:b/>
          <w:bCs/>
        </w:rPr>
        <w:t xml:space="preserve">Требуется от организации:</w:t>
      </w:r>
      <w:r>
        <w:t xml:space="preserve"> выделение ресурсов стенда, доступ к источникам, согласование состава ролей, участники пилотной группы, доступ к языковой модели.</w:t>
      </w:r>
      <w:r/>
    </w:p>
    <w:p>
      <w:pPr>
        <w:pBdr/>
        <w:spacing w:after="120" w:line="276" w:lineRule="auto"/>
        <w:ind/>
        <w:jc w:val="both"/>
        <w:rPr/>
      </w:pPr>
      <w:r>
        <w:rPr>
          <w:b/>
          <w:bCs/>
        </w:rPr>
        <w:t xml:space="preserve">Результат:</w:t>
      </w:r>
      <w:r>
        <w:t xml:space="preserve"> проверка применимости на данных организации по согласованному набору сценариев, отчёт, техническое задание на промышленное внедрение.</w:t>
      </w:r>
      <w:r/>
    </w:p>
    <w:p>
      <w:pPr>
        <w:pBdr/>
        <w:spacing w:after="120" w:line="276" w:lineRule="auto"/>
        <w:ind/>
        <w:rPr/>
      </w:pPr>
      <w:r>
        <w:t xml:space="preserve">Коммерческие условия направляются отдельно.</w: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721"/>
        <w:pBdr>
          <w:bottom w:val="single" w:color="c9d2da" w:sz="6" w:space="6"/>
        </w:pBdr>
        <w:spacing w:after="140" w:before="320"/>
        <w:ind/>
        <w:rPr/>
      </w:pPr>
      <w:r>
        <w:rPr>
          <w:rFonts w:ascii="Calibri" w:hAnsi="Calibri" w:eastAsia="Calibri" w:cs="Calibri"/>
          <w:b/>
          <w:bCs/>
          <w:color w:val="1b4b6b"/>
          <w:sz w:val="24"/>
          <w:szCs w:val="24"/>
        </w:rPr>
        <w:t xml:space="preserve">Приложение В. Схемы маршрута данных</w:t>
      </w:r>
      <w:r/>
    </w:p>
    <w:p>
      <w:pPr>
        <w:pBdr/>
        <w:spacing w:after="120" w:line="276" w:lineRule="auto"/>
        <w:ind/>
        <w:rPr/>
      </w:pPr>
      <w:r>
        <w:t xml:space="preserve">Нумерация точек контроля на схемах соответствует разделам 2.1–2.7 документа 2.</w:t>
      </w:r>
      <w:r/>
    </w:p>
    <w:p>
      <w:pPr>
        <w:pBdr/>
        <w:spacing w:after="80" w:before="20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29250" cy="4914900"/>
                <wp:effectExtent l="0" t="0" r="0" b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429250" cy="4914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27.50pt;height:387.00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/>
    </w:p>
    <w:p>
      <w:pPr>
        <w:pBdr/>
        <w:spacing w:after="320"/>
        <w:ind/>
        <w:jc w:val="center"/>
        <w:rPr/>
      </w:pPr>
      <w:r>
        <w:rPr>
          <w:rFonts w:ascii="Calibri" w:hAnsi="Calibri" w:eastAsia="Calibri" w:cs="Calibri"/>
          <w:i/>
          <w:iCs/>
          <w:color w:val="5a6672"/>
          <w:sz w:val="18"/>
          <w:szCs w:val="18"/>
        </w:rPr>
        <w:t xml:space="preserve">Рисунок 1. Маршрут данных при размещении языковой модели в инфраструктуре организации. Обращения за пределы контура отсутствуют</w:t>
      </w:r>
      <w:r/>
    </w:p>
    <w:p>
      <w:pPr>
        <w:pBdr/>
        <w:spacing w:after="80" w:before="20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29250" cy="5276850"/>
                <wp:effectExtent l="0" t="0" r="0" b="0"/>
                <wp:docPr id="2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429250" cy="52768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27.50pt;height:415.5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</w:p>
    <w:p>
      <w:pPr>
        <w:pBdr/>
        <w:spacing w:after="320"/>
        <w:ind/>
        <w:jc w:val="center"/>
        <w:rPr/>
      </w:pPr>
      <w:r>
        <w:rPr>
          <w:rFonts w:ascii="Calibri" w:hAnsi="Calibri" w:eastAsia="Calibri" w:cs="Calibri"/>
          <w:i/>
          <w:iCs/>
          <w:color w:val="5a6672"/>
          <w:sz w:val="18"/>
          <w:szCs w:val="18"/>
        </w:rPr>
        <w:t xml:space="preserve">Рисунок 2. Маршрут данных при использовании внешнего сервиса языковой модели</w:t>
      </w:r>
      <w:r/>
    </w:p>
    <w:sectPr>
      <w:footerReference w:type="default" r:id="rId9"/>
      <w:footnotePr/>
      <w:endnotePr/>
      <w:type w:val="nextPage"/>
      <w:pgSz w:h="16838" w:orient="portrait" w:w="11906"/>
      <w:pgMar w:top="1418" w:right="1440" w:bottom="1418" w:left="1440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nsolas">
    <w:panose1 w:val="020B0606030504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center"/>
      <w:rPr/>
    </w:pPr>
    <w:r>
      <w:rPr>
        <w:rFonts w:ascii="Calibri" w:hAnsi="Calibri" w:eastAsia="Calibri" w:cs="Calibri"/>
        <w:color w:val="5a6672"/>
        <w:sz w:val="18"/>
        <w:szCs w:val="18"/>
      </w:rPr>
      <w:fldChar w:fldCharType="begin"/>
      <w:instrText xml:space="preserve">PAGE</w:instrText>
      <w:fldChar w:fldCharType="separate"/>
      <w:fldChar w:fldCharType="end"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—"/>
      <w:numFmt w:val="bullet"/>
      <w:pPr>
        <w:pBdr/>
        <w:spacing/>
        <w:ind w:hanging="220" w:left="36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lvl w:ilvl="0">
      <w:isLgl w:val="false"/>
      <w:lvlJc w:val="left"/>
      <w:lvlText w:val="%1."/>
      <w:numFmt w:val="decimal"/>
      <w:pPr>
        <w:pBdr/>
        <w:spacing/>
        <w:ind w:hanging="280" w:left="42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32186CA0"/>
    <w:lvl w:ilvl="0">
      <w:isLgl w:val="false"/>
      <w:lvlJc w:val="left"/>
      <w:lvlText w:val="%1."/>
      <w:numFmt w:val="decimal"/>
      <w:pPr>
        <w:pBdr/>
        <w:spacing/>
        <w:ind w:hanging="280" w:left="42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Calibri"/>
        <w:color w:val="1f2a37"/>
        <w:sz w:val="21"/>
        <w:szCs w:val="21"/>
      </w:rPr>
    </w:rPrDefault>
    <w:pPrDefault>
      <w:pPr>
        <w:pBdr/>
        <w:spacing w:after="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72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2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72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7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72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71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  <w:style w:type="paragraph" w:styleId="719">
    <w:name w:val="Title"/>
    <w:qFormat/>
    <w:pPr>
      <w:pBdr/>
      <w:spacing/>
      <w:ind/>
    </w:pPr>
    <w:rPr>
      <w:sz w:val="56"/>
      <w:szCs w:val="56"/>
    </w:rPr>
  </w:style>
  <w:style w:type="paragraph" w:styleId="720">
    <w:name w:val="Heading 1"/>
    <w:qFormat/>
    <w:pPr>
      <w:pBdr/>
      <w:spacing/>
      <w:ind/>
    </w:pPr>
    <w:rPr>
      <w:color w:val="2e74b5"/>
      <w:sz w:val="32"/>
      <w:szCs w:val="32"/>
    </w:rPr>
  </w:style>
  <w:style w:type="paragraph" w:styleId="721">
    <w:name w:val="Heading 2"/>
    <w:qFormat/>
    <w:pPr>
      <w:pBdr/>
      <w:spacing/>
      <w:ind/>
    </w:pPr>
    <w:rPr>
      <w:color w:val="2e74b5"/>
      <w:sz w:val="26"/>
      <w:szCs w:val="26"/>
    </w:rPr>
  </w:style>
  <w:style w:type="paragraph" w:styleId="722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723">
    <w:name w:val="Heading 4"/>
    <w:qFormat/>
    <w:pPr>
      <w:pBdr/>
      <w:spacing/>
      <w:ind/>
    </w:pPr>
    <w:rPr>
      <w:i/>
      <w:iCs/>
      <w:color w:val="2e74b5"/>
    </w:rPr>
  </w:style>
  <w:style w:type="paragraph" w:styleId="724">
    <w:name w:val="Heading 5"/>
    <w:qFormat/>
    <w:pPr>
      <w:pBdr/>
      <w:spacing/>
      <w:ind/>
    </w:pPr>
    <w:rPr>
      <w:color w:val="2e74b5"/>
    </w:rPr>
  </w:style>
  <w:style w:type="paragraph" w:styleId="725">
    <w:name w:val="Heading 6"/>
    <w:qFormat/>
    <w:pPr>
      <w:pBdr/>
      <w:spacing/>
      <w:ind/>
    </w:pPr>
    <w:rPr>
      <w:color w:val="1f4d78"/>
    </w:rPr>
  </w:style>
  <w:style w:type="paragraph" w:styleId="726">
    <w:name w:val="Strong"/>
    <w:qFormat/>
    <w:pPr>
      <w:pBdr/>
      <w:spacing/>
      <w:ind/>
    </w:pPr>
    <w:rPr>
      <w:b/>
      <w:bCs/>
    </w:rPr>
  </w:style>
  <w:style w:type="paragraph" w:styleId="727">
    <w:name w:val="List Paragraph"/>
    <w:qFormat/>
    <w:pPr>
      <w:pBdr/>
      <w:spacing/>
      <w:ind/>
    </w:pPr>
  </w:style>
  <w:style w:type="character" w:styleId="728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729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30">
    <w:name w:val="footnote text"/>
    <w:link w:val="73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31">
    <w:name w:val="Footnote Text Char"/>
    <w:link w:val="730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732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33">
    <w:name w:val="endnote text"/>
    <w:link w:val="73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34">
    <w:name w:val="Endnote Text Char"/>
    <w:link w:val="733"/>
    <w:uiPriority w:val="99"/>
    <w:semiHidden/>
    <w:unhideWhenUsed/>
    <w:pPr>
      <w:pBdr/>
      <w:spacing/>
      <w:ind/>
    </w:pPr>
    <w:rPr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ONLYOFFICE/9.2.1.43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Ответы на запрос — корпоративная платформа интеллектуальной аналитики</dc:title>
  <cp:revision>2</cp:revision>
  <dcterms:created xsi:type="dcterms:W3CDTF">2026-07-31T12:43:18Z</dcterms:created>
  <dcterms:modified xsi:type="dcterms:W3CDTF">2026-07-31T14:27:02Z</dcterms:modified>
</cp:coreProperties>
</file>