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</w:pPr>
      <w:r>
        <w:t xml:space="preserve">План пилота: «Платформа» + AI Guard в контуре АО «Инвестиционная компания Д8»</w:t>
      </w:r>
    </w:p>
    <w:p>
      <w:pPr>
        <w:spacing w:after="120"/>
      </w:pPr>
      <w:r>
        <w:t xml:space="preserve">Практический план исполнения по Приложению №1 к Договору № ИКД-1-PRO от 15.07.2026 (</w:t>
      </w:r>
      <w:r>
        <w:rPr>
          <w:i/>
          <w:iCs/>
        </w:rPr>
        <w:t xml:space="preserve">docs/sources/tz-pilot-ikd-1-pro-ai-guard.docx</w:t>
      </w:r>
      <w:r>
        <w:t xml:space="preserve">, разбор — </w:t>
      </w:r>
      <w:r>
        <w:rPr>
          <w:i/>
          <w:iCs/>
        </w:rPr>
        <w:t xml:space="preserve">case-03-pilot-tz-ai-guard.md</w:t>
      </w:r>
      <w:r>
        <w:t xml:space="preserve">). Подрядчик — ООО «АйТиКью Про» (ген. директор А.Б. Шаронин), заказчик — АО «Инвестиционная компания Д8» (ген. директор В.В. Грицук, тот же клиент, что в кейсах 01–02).</w:t>
      </w:r>
    </w:p>
    <w:p>
      <w:pPr>
        <w:pStyle w:val="Heading1"/>
        <w:spacing w:after="160" w:before="320"/>
      </w:pPr>
      <w:r>
        <w:t xml:space="preserve">0. Что нужно понимать перед стартом</w:t>
      </w:r>
    </w:p>
    <w:p>
      <w:pPr>
        <w:spacing w:after="120"/>
      </w:pPr>
      <w:r>
        <w:rPr>
          <w:b/>
          <w:bCs/>
        </w:rPr>
        <w:t xml:space="preserve">Часы пилота (6 недель) запускаются не с даты договора, а с момента, когда заказчик фактически предоставил инфраструктуру и доступы к КХД/ESB</w:t>
      </w:r>
      <w:r>
        <w:t xml:space="preserve"> — это прямо оговорено в разделе «Организационные условия» ТЗ. Дата подписания договора (15.07.2026) — не дата начала пилота.</w:t>
      </w:r>
    </w:p>
    <w:p>
      <w:pPr>
        <w:spacing w:after="120"/>
      </w:pPr>
      <w:r>
        <w:rPr>
          <w:b/>
          <w:bCs/>
        </w:rPr>
        <w:t xml:space="preserve">Статус на сейчас (на 04.08.2026)</w:t>
      </w:r>
      <w:r>
        <w:t xml:space="preserve">: номинальное начало работ — </w:t>
      </w:r>
      <w:r>
        <w:rPr>
          <w:b/>
          <w:bCs/>
        </w:rPr>
        <w:t xml:space="preserve">27.07.2026</w:t>
      </w:r>
      <w:r>
        <w:t xml:space="preserve">; целевая дата доступа к КХД/ESB — </w:t>
      </w:r>
      <w:r>
        <w:rPr>
          <w:b/>
          <w:bCs/>
        </w:rPr>
        <w:t xml:space="preserve">31.07.2026</w:t>
      </w:r>
      <w:r>
        <w:t xml:space="preserve">, но по факту доступ </w:t>
      </w:r>
      <w:r>
        <w:rPr>
          <w:b/>
          <w:bCs/>
          <w:color w:val="B45309"/>
        </w:rPr>
        <w:t xml:space="preserve">до сих пор не предоставлен</w:t>
      </w:r>
      <w:r>
        <w:t xml:space="preserve"> — просрочка уже 4 дня к целевой дате и 8 дней к номинальному старту. По условиям ТЗ часы пилота считаются именно от даты фактического доступа, поэтому </w:t>
      </w:r>
      <w:r>
        <w:rPr>
          <w:b/>
          <w:bCs/>
          <w:color w:val="B45309"/>
        </w:rPr>
        <w:t xml:space="preserve">официальный День 1 ещё не наступил</w:t>
      </w:r>
      <w:r>
        <w:t xml:space="preserve"> — как только доступ откроется, календарь ниже пересчитывается от новой фактической даты. 27.07–04.08 засчитываются как подготовительная работа, не блокированная доступом (провижининг серверов, обсуждение состава ролей), но не входят в 6-недельный счётчик пилота.</w:t>
      </w:r>
    </w:p>
    <w:p>
      <w:pPr>
        <w:spacing w:after="120"/>
      </w:pPr>
      <w:r>
        <w:rPr>
          <w:b/>
          <w:bCs/>
        </w:rPr>
        <w:t xml:space="preserve">Причина съезда сроков</w:t>
      </w:r>
      <w:r>
        <w:t xml:space="preserve">: единственная причина текущего отставания — доступ к КХД/ESB со стороны заказчика (Д8), который по плану должен был быть открыт к 31.07.2026, но по состоянию на 04.08.2026 так и не предоставлен. Все остальные подготовительные работы (инфраструктура, состав ролей, RAG-коллекции) выполнены в срок или с опережением графика — см. Этап 1 ниже. Это единственный блокер, от которого зависит сдвиг всего последующего календаря.</w:t>
      </w:r>
    </w:p>
    <w:p>
      <w:pPr>
        <w:spacing w:after="120"/>
      </w:pPr>
      <w:r>
        <w:rPr>
          <w:b/>
          <w:bCs/>
        </w:rPr>
        <w:t xml:space="preserve">Плановые и фактические сроки по этапам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700"/>
        <w:gridCol w:w="2900"/>
        <w:gridCol w:w="3900"/>
      </w:tblGrid>
      <w:tr>
        <w:trPr>
          <w:tblHeader/>
        </w:trP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Этап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Плановая длительность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Плановые даты (от целевого Дня 1 = 31.07)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Факт на 04.08.2026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1 — Подготовка и развёртывание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7 дней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31.07–06.08.2026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0E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B45309"/>
              </w:rPr>
              <w:t xml:space="preserve">⏳ В процессе, заблокирован — не закрыт из-за отсутствия доступа к КХД/ESB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 — Интеграция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14 дней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07.08–20.08.2026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Не начат — стартует только после закрытия Этапа 1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 — Опытная эксплуатация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14 дней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21.08–03.09.2026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Не начат — сдвигается на тот же срок, что и Этап 1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4 — Оценка и отчёт</w:t>
            </w:r>
          </w:p>
        </w:tc>
        <w:tc>
          <w:tcPr>
            <w:tcW w:type="dxa" w:w="1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7 дней</w:t>
            </w:r>
          </w:p>
        </w:tc>
        <w:tc>
          <w:tcPr>
            <w:tcW w:type="dxa" w:w="2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04.09–10.09.2026</w:t>
            </w:r>
          </w:p>
        </w:tc>
        <w:tc>
          <w:tcPr>
            <w:tcW w:type="dxa" w:w="3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Не начат — сдвигается вместе с предыдущими этапами</w:t>
            </w:r>
          </w:p>
        </w:tc>
      </w:tr>
    </w:tbl>
    <w:p>
      <w:pPr>
        <w:spacing w:after="120"/>
      </w:pPr>
      <w:r>
        <w:rPr>
          <w:i/>
          <w:iCs/>
        </w:rPr>
        <w:t xml:space="preserve">Пока доступ к КХД/ESB не получен, все даты в этой таблице — целевые ориентиры, а не подтверждённый план: весь календарь сдвигается день в день с задержкой получения доступа.</w:t>
      </w:r>
    </w:p>
    <w:p>
      <w:pPr>
        <w:pStyle w:val="Heading1"/>
        <w:spacing w:after="160" w:before="320"/>
      </w:pPr>
      <w:r>
        <w:t xml:space="preserve">1. Чек-лист готовности к старту (закрыть до Дня 1)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900"/>
        <w:gridCol w:w="1800"/>
        <w:gridCol w:w="3300"/>
      </w:tblGrid>
      <w:tr>
        <w:trPr>
          <w:tblHeader/>
        </w:trP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нужно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Кто предоставляет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Блокирует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Сервер/ВМ под СУБД+платформу и под контейнерную среду (≈8 vCPU, 32 ГБ RAM, 100 ГБ SSD, GPU для эмбеддеров) — по факту один общий сервер, а не два раздельных, как изначально предполагалось по ТЗ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 Выполнено — инфраструктура развёрнута и подтверждена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Контейнерная среда (Docker/Kubernetes), Linux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 Выполнено (Docker развернули собственными силами)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Сетевой доступ + учётная запись read-only к КХД (согласованные схемы/таблицы)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0E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B45309"/>
              </w:rPr>
              <w:t xml:space="preserve">⏳ Статус не известен (не получено) — цель была 31.07.2026, блокирует старт часов пилота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Сетевой доступ к ESB-шине + спецификация интерфейса справочника клиентов + учётные данные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0E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B45309"/>
              </w:rPr>
              <w:t xml:space="preserve">⏳ Статус не известен (нет доступа) — цель была 31.07.2026, блокирует старт часов пилота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Сетевой доступ к MCP-серверу + спецификация интерфейса + учётные данные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Сетевой доступ к внутренней RAG-компании + спецификация + учётные данные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 — см. открытый вопрос ниже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7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Состав и права 2–5 ролей — согласовать заранее, не на ходу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1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8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Состав 2 RAG-коллекций документов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 Загрузка документов идёт, поиск по коллекциям уже работает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9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Пилотная группа — до 20 пользователей на 2 согласованные роли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10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Доступ/API-ключ к выбранной облачной LLM для маршрутизации через AI Guard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 (ключи получены 04.08.2026, подключение к AI Guard ещё не выполнено)</w:t>
            </w:r>
          </w:p>
        </w:tc>
      </w:tr>
      <w:tr>
        <w:tc>
          <w:tcPr>
            <w:tcW w:type="dxa" w:w="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11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Технический контакт со стороны Д8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Все этапы</w:t>
            </w:r>
          </w:p>
        </w:tc>
      </w:tr>
    </w:tbl>
    <w:p>
      <w:pPr>
        <w:spacing w:after="120"/>
      </w:pPr>
      <w:r>
        <w:rPr>
          <w:b/>
          <w:bCs/>
        </w:rPr>
        <w:t xml:space="preserve">Открытый вопрос, не закрытый ТЗ</w:t>
      </w:r>
      <w:r>
        <w:t xml:space="preserve">: что именно означает источник «RAG-компании» — отдельная уже существующая у заказчика RAG-система, к которой платформа подключается как к источнику (гипотеза из case-03), или что-то ещё. Уточнить до Этапа 2 — от этого зависит, идёт ли туда read-доступ или полноценная интеграция.</w:t>
      </w:r>
    </w:p>
    <w:p>
      <w:pPr>
        <w:pStyle w:val="Heading1"/>
        <w:spacing w:after="160" w:before="320"/>
      </w:pPr>
      <w:r>
        <w:t xml:space="preserve">2. Календарный план по этапам</w:t>
      </w:r>
    </w:p>
    <w:p>
      <w:pPr>
        <w:spacing w:after="120"/>
      </w:pPr>
      <w:r>
        <w:t xml:space="preserve">Даты ниже приведены от целевого Дня 1 (31.07.2026, см. раздел 0) как ориентир. Поскольку доступ к КХД/ESB на 04.08.2026 ещё не получен, официальный День 1 не наступил, и весь календарь сдвигается вправо на каждый день просрочки — пересчитать сразу после фактического получения доступа.</w:t>
      </w:r>
    </w:p>
    <w:p>
      <w:pPr>
        <w:pStyle w:val="Heading2"/>
        <w:spacing w:after="120" w:before="240"/>
      </w:pPr>
      <w:r>
        <w:t xml:space="preserve">Этап 1 — Подготовка и развёртывание (31.07–06.08.2026, целевые даты) — В ПРОЦЕССЕ, ЗАБЛОКИРОВАН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Статус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Открытие доступа к КХД (read-only, согласованные схемы/таблицы)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 — технический контакт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0E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B45309"/>
              </w:rPr>
              <w:t xml:space="preserve">⏳ Не получено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Открытие доступа к ESB-шине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 — технический контакт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DF0E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B45309"/>
              </w:rPr>
              <w:t xml:space="preserve">⏳ Нет доступа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Выделение инфраструктуры (сервер под СУБД+платформу, GPU под эмбеддеры, контейнерная среда)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 Подтверждено — один общий сервер вместо двух раздельных по ТЗ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Согласование состава и прав 2–5 ролей (верхнеуровнево, без детальной настройки)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 (закрыто до Дня 1 по чек-листу)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Согласование состава 2 RAG-коллекций (какие документы, не сама загрузка)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 (закрыто до Дня 1 по чек-листу)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Загрузка документов в RAG-коллекции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 Идёт, поиск по коллекциям уже работает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Установка и базовая настройка платформы на стенде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 — команда внедрения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Пробный запуск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 — команда внедрения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E6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B34"/>
              </w:rPr>
              <w:t xml:space="preserve">✅ подтверждено</w:t>
            </w:r>
          </w:p>
        </w:tc>
      </w:tr>
    </w:tbl>
    <w:p>
      <w:pPr>
        <w:spacing w:after="120"/>
      </w:pPr>
      <w:r>
        <w:rPr>
          <w:b/>
          <w:bCs/>
        </w:rPr>
        <w:t xml:space="preserve">Результат этапа получен частично</w:t>
      </w:r>
      <w:r>
        <w:t xml:space="preserve">: вся инфраструктура (сервер под СУБД+платформу, контейнерная среда) подтверждена и развёрнута — по факту это один общий сервер (≈8 vCPU, 32 ГБ RAM, 100 ГБ SSD), а не два раздельных, как изначально предполагалось по ТЗ; Docker разворачивали собственными силами. Состав ролей и RAG-коллекций согласован, загрузка документов в RAG идёт, поиск по коллекциям уже работает, пробный запуск проведён. Единственное, что остаётся открытым для закрытия Этапа 1 — доступ к КХД/ESB: без него официальный отсчёт 6-недельного пилота не запущен.</w:t>
      </w:r>
    </w:p>
    <w:p>
      <w:pPr>
        <w:pStyle w:val="Heading2"/>
        <w:spacing w:after="120" w:before="240"/>
      </w:pPr>
      <w:r>
        <w:t xml:space="preserve">Этап 2 — Интеграция (07.08–20.08.2026) — детально, по дорожкам</w:t>
      </w:r>
    </w:p>
    <w:p>
      <w:pPr>
        <w:spacing w:after="120"/>
      </w:pPr>
      <w:r>
        <w:t xml:space="preserve">Четыре независимых интеграционных потока + два сквозных (ролевая модель, канал к LLM) — идут параллельно, не последовательно. Дни считаются рабочими от начала этапа (07.08 = День 1).</w:t>
      </w:r>
    </w:p>
    <w:p>
      <w:pPr>
        <w:pStyle w:val="Heading3"/>
        <w:spacing w:after="100" w:before="200"/>
      </w:pPr>
      <w:r>
        <w:t xml:space="preserve">Дорожка A — КХД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Срок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A1. Настройка read-only коннектора к согласованным схемам/таблицам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1–2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A2. Тестовые выборки, валидация корректности данных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2–3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A3. Прогон сценария «Платформа-1» (права на источник/таблицу/колонку)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 — Д8 подтверждает матрицу прав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Конец недели 2</w:t>
            </w:r>
          </w:p>
        </w:tc>
      </w:tr>
    </w:tbl>
    <w:p>
      <w:pPr>
        <w:pStyle w:val="Heading3"/>
        <w:spacing w:after="100" w:before="200"/>
      </w:pPr>
      <w:r>
        <w:t xml:space="preserve">Дорожка B — ESB (справочник клиентов)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Срок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B1. Спецификация интерфейса и учётные данные интеграции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 — технический контакт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Должно быть готово к старту этапа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B2. Реализация интеграции с ESB-шиной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1–4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B3. Тестовые вызовы, сверка данных клиента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4–5</w:t>
            </w:r>
          </w:p>
        </w:tc>
      </w:tr>
    </w:tbl>
    <w:p>
      <w:pPr>
        <w:pStyle w:val="Heading3"/>
        <w:spacing w:after="100" w:before="200"/>
      </w:pPr>
      <w:r>
        <w:t xml:space="preserve">Дорожка C — MCP-сервер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Срок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C1. Подключение по предоставленной спецификации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3–5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C2. Проверка перечисления и вызова инструментов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5–6</w:t>
            </w:r>
          </w:p>
        </w:tc>
      </w:tr>
    </w:tbl>
    <w:p>
      <w:pPr>
        <w:pStyle w:val="Heading3"/>
        <w:spacing w:after="100" w:before="200"/>
      </w:pPr>
      <w:r>
        <w:t xml:space="preserve">Дорожка D — «RAG-компании» (источник, требующий уточнения)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Срок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D0. Уточнить, что это за источник — отдельная RAG-система заказчика или иное (открытый вопрос из раздела 0)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Совместно, приоритетно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День 1, до начала интеграции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D1. Подключение по итогам уточнения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6–8</w:t>
            </w:r>
          </w:p>
        </w:tc>
      </w:tr>
    </w:tbl>
    <w:p>
      <w:pPr>
        <w:pStyle w:val="Heading3"/>
        <w:spacing w:after="100" w:before="200"/>
      </w:pPr>
      <w:r>
        <w:t xml:space="preserve">Дорожка E — Ролевая модель (сквозная, питает дорожки A/F)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Срок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E1. Перевод согласованного состава ролей в конкретные права на источник/таблицу/колонку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 настраивает, Д8 — технический контакт подтверждает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1–5, параллельно с A–D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E2. Прогон сценария «Платформа-2» (права на уровне данных — по ФИО/номеру договора)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Конец недели 2 / начало недели 3</w:t>
            </w:r>
          </w:p>
        </w:tc>
      </w:tr>
    </w:tbl>
    <w:p>
      <w:pPr>
        <w:pStyle w:val="Heading3"/>
        <w:spacing w:after="100" w:before="200"/>
      </w:pPr>
      <w:r>
        <w:t xml:space="preserve">Дорожка F — RAG-корпус (зависит от готовности ролевой модели)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Срок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F1. Загрузка 2 согласованных коллекций документов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 предоставляет документы, АйТиКью Про загружает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Идёт (стартовало раньше графика — ещё на Этапе 1)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F2. Индексация с учётом разграничения доступа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Поиск по коллекциям уже работает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F3. Проверка поиска и разграничения между ролями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Конец недели 3</w:t>
            </w:r>
          </w:p>
        </w:tc>
      </w:tr>
    </w:tbl>
    <w:p>
      <w:pPr>
        <w:pStyle w:val="Heading3"/>
        <w:spacing w:after="100" w:before="200"/>
      </w:pPr>
      <w:r>
        <w:t xml:space="preserve">Дорожка G — AI Guard → облачная LLM (независима от остальных, можно начинать сразу)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500"/>
        <w:gridCol w:w="3000"/>
      </w:tblGrid>
      <w:tr>
        <w:trPr>
          <w:tblHeader/>
        </w:trP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Срок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G1. Учётные данные/API-доступ к выбранной облачной модели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 — технический контакт, как можно раньше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1–2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G2. Настройка маршрутизации через AI Guard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Дни 1–3</w:t>
            </w:r>
          </w:p>
        </w:tc>
      </w:tr>
      <w:tr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G3. Первый прогон сценария «Анонимизатор-1» (обезличивание в запросе)</w:t>
            </w:r>
          </w:p>
        </w:tc>
        <w:tc>
          <w:tcPr>
            <w:tcW w:type="dxa" w:w="3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Конец недели 2</w:t>
            </w:r>
          </w:p>
        </w:tc>
      </w:tr>
    </w:tbl>
    <w:p>
      <w:pPr>
        <w:spacing w:after="120"/>
      </w:pPr>
      <w:r>
        <w:rPr>
          <w:b/>
          <w:bCs/>
        </w:rPr>
        <w:t xml:space="preserve">Условие перехода к Этапу 3</w:t>
      </w:r>
      <w:r>
        <w:t xml:space="preserve">: все 4 источника интегрированы и проверены, ролевая модель настроена и подтверждена сценариями «Платформа-1,2», RAG-корпус загружен и проиндексирован, канал к LLM через AI Guard работает и проверен сценарием «Анонимизатор-1». Не откладывать эти четыре проверки на Этап 3 — если что-то из них не готово к 19.08, Этап 3 стартует с недоделанным фундаментом.</w:t>
      </w:r>
    </w:p>
    <w:p>
      <w:pPr>
        <w:pStyle w:val="Heading2"/>
        <w:spacing w:after="120" w:before="240"/>
      </w:pPr>
      <w:r>
        <w:t xml:space="preserve">Этап 3 — Опытная эксплуатация (21.08–03.09.2026) — по неделям</w:t>
      </w:r>
    </w:p>
    <w:p>
      <w:pPr>
        <w:pStyle w:val="Heading3"/>
        <w:spacing w:after="100" w:before="200"/>
      </w:pPr>
      <w:r>
        <w:t xml:space="preserve">Неделя 4 (21–27.08) — основная волна: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50"/>
        <w:gridCol w:w="5850"/>
      </w:tblGrid>
      <w:tr>
        <w:trPr>
          <w:tblHeader/>
        </w:trP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тестируется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</w:tr>
      <w:t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Анонимизатор 2, 3, 4, 5, 6 (документы, восстановление, журналирование, доступ, «грязные» данные)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Пилотная группа Д8 выполняет сценарии; АйТиКью Про фиксирует результаты и метрики</w:t>
            </w:r>
          </w:p>
        </w:tc>
      </w:tr>
      <w:t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Платформа 3, 4, 5, 7 (API, ПДн из источников, комплексные запросы, почта)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Пилотная группа Д8; АйТиКью Про — техническая поддержка</w:t>
            </w:r>
          </w:p>
        </w:tc>
      </w:tr>
    </w:tbl>
    <w:p>
      <w:pPr>
        <w:pStyle w:val="Heading3"/>
        <w:spacing w:after="100" w:before="200"/>
      </w:pPr>
      <w:r>
        <w:t xml:space="preserve">Неделя 5 (28.08–03.09) — оставшиеся сценарии + обучение: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50"/>
        <w:gridCol w:w="5850"/>
      </w:tblGrid>
      <w:tr>
        <w:trPr>
          <w:tblHeader/>
        </w:trP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делается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</w:tr>
      <w:t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Анонимизатор 7, 8, 9 (лимиты, работа из агентов, потоковая нагрузка)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 проводит нагрузочные/интеграционные проверки, пилотная группа — сценарии из агентов (n8n/VS Code/Claude Code)</w:t>
            </w:r>
          </w:p>
        </w:tc>
      </w:tr>
      <w:t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Платформа 6, 8 (RAG-проверка по нормативке ЦБ, сверки)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Пилотная группа Д8</w:t>
            </w:r>
          </w:p>
        </w:tc>
      </w:tr>
      <w:t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Обучение пилотной группы (1 сессия)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 проводит, Д8 обеспечивает участие</w:t>
            </w:r>
          </w:p>
        </w:tc>
      </w:tr>
      <w:tr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Сбор обратной связи и тест-кейсов</w:t>
            </w:r>
          </w:p>
        </w:tc>
        <w:tc>
          <w:tcPr>
            <w:tcW w:type="dxa" w:w="5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Совместно</w:t>
            </w:r>
          </w:p>
        </w:tc>
      </w:tr>
    </w:tbl>
    <w:p>
      <w:pPr>
        <w:spacing w:after="120"/>
      </w:pPr>
      <w:r>
        <w:t xml:space="preserve">Технический контакт Д8 — на этом этапе главная ответственность смещается на оперативное решение вопросов доступа для пилотной группы (до 20 пользователей), а не на интеграции.</w:t>
      </w:r>
    </w:p>
    <w:p>
      <w:pPr>
        <w:pStyle w:val="Heading2"/>
        <w:spacing w:after="120" w:before="240"/>
      </w:pPr>
      <w:r>
        <w:t xml:space="preserve">Этап 4 — Оценка и отчёт (04.09–10.09.2026)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4900"/>
      </w:tblGrid>
      <w:tr>
        <w:trPr>
          <w:tblHeader/>
        </w:trP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Подзадача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Ответственный</w:t>
            </w:r>
          </w:p>
        </w:tc>
      </w:tr>
      <w:t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Анализ результатов по всем 17 сценариям (сведение метрик, факт. % против целевых порогов)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 — команда внедрения</w:t>
            </w:r>
          </w:p>
        </w:tc>
      </w:tr>
      <w:t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Итоговый отчёт + презентация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</w:tr>
      <w:t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Рекомендации по конфигурации промышленного внедрения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</w:tr>
      <w:t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Техническое задание на новый/дорабатываемый функционал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АйТиКью Про</w:t>
            </w:r>
          </w:p>
        </w:tc>
      </w:tr>
      <w:t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Обратная связь по итогам пилота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 — пилотная группа + технический контакт</w:t>
            </w:r>
          </w:p>
        </w:tc>
      </w:tr>
      <w:t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Решение о переходе в промышленную эксплуатацию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Д8 — руководство (АО «Инвестиционная компания Д8»)</w:t>
            </w:r>
          </w:p>
        </w:tc>
      </w:tr>
      <w:tr>
        <w:tc>
          <w:tcPr>
            <w:tcW w:type="dxa" w:w="6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Подписание Акта сдачи-приёмки (форма — Приложение №2 к договору)</w:t>
            </w:r>
          </w:p>
        </w:tc>
        <w:tc>
          <w:tcPr>
            <w:tcW w:type="dxa" w:w="4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Обе стороны — А.Б. Шаронин (АйТиКью Про) / В.В. Грицук (Д8)</w:t>
            </w:r>
          </w:p>
        </w:tc>
      </w:tr>
    </w:tbl>
    <w:p>
      <w:pPr>
        <w:spacing w:after="120"/>
      </w:pPr>
      <w:r>
        <w:rPr>
          <w:b/>
          <w:bCs/>
        </w:rPr>
        <w:t xml:space="preserve">Результат этапа</w:t>
      </w:r>
      <w:r>
        <w:t xml:space="preserve">: итоговый отчёт, ТЗ на будущий функционал, подписанный Акт сдачи-приёмки.</w:t>
      </w:r>
    </w:p>
    <w:p>
      <w:pPr>
        <w:pStyle w:val="Heading1"/>
        <w:spacing w:after="160" w:before="320"/>
      </w:pPr>
      <w:r>
        <w:t xml:space="preserve">3. Матрица тестовых сценариев</w:t>
      </w:r>
    </w:p>
    <w:p>
      <w:pPr>
        <w:spacing w:after="120"/>
      </w:pPr>
      <w:r>
        <w:t xml:space="preserve">Компактная сводка всех 17 сценариев из ТЗ — не переписывать заново на каждой неделе, а закрывать по мере готовности инфраструктуры. «Когда» — рекомендуемое размещение по этапам, не жёсткая привязка из ТЗ.</w:t>
      </w:r>
    </w:p>
    <w:p>
      <w:pPr>
        <w:pStyle w:val="Heading2"/>
        <w:spacing w:after="120" w:before="240"/>
      </w:pPr>
      <w:r>
        <w:t xml:space="preserve">Блок «Анонимизатор» (AI Guard) — 9 сценариев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5300"/>
        <w:gridCol w:w="1900"/>
      </w:tblGrid>
      <w:tr>
        <w:trPr>
          <w:tblHeader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Сценарий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Критерий приёмки (кратко)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Когда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Обезличивание в запросе (текст)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≥20 запросов, 100% сущностей замаскировано, релевантность к эталону ≥90%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2, конец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Обезличивание в документе (7 форматов: xls/x, doc/x, pptx, json, xml, txt, pdf-текст, pdf-скан)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≥10 документов на формат, ≥98% сущностей распознано и замаскировано, 0 утечек немаскированной сущности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Восстановление в ответе (текст и документы)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100% меток восстановлено верно на выборке ≥15 запросов с 2+ сущностями, без путаницы между ними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Журналирование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100% тестовых запросов отражены в журнале (пользователь/время/модель/типы скрытых данных); доступ к журналу — по согласованным ролям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2–3, сквозная проверка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Разграничение доступа (роль × модель)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≥10 комбинаций, 100% доступ строго по матрице, 0 несанкционированных случаев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Поведение на «грязных» данных (опечатки, нестандартные форматы)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Зафиксирован факт. % распознавания на ≥15 примерах; порог по умолчанию — не менее 70%, не считается дефектом ниже него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7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Лимиты пользователей/групп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≥3 сценария лимитов, 100% блокировка при достижении, корректное восстановление доступа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8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Работа из агентов (n8n, VS Code, Claude Code, прямые клиенты claude.ai/OpenAI)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По 4 каналам, ≥5 запросов на канал, 100% успешной анонимизации/деанонимизации по сценариям 1–3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9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Потоковое/параллельное использование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≥10 параллельных запросов, обработка каждого ≤15 сек, 0 смешения меток между запросами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3, ближе к концу</w:t>
            </w:r>
          </w:p>
        </w:tc>
      </w:tr>
    </w:tbl>
    <w:p>
      <w:pPr>
        <w:pStyle w:val="Heading2"/>
        <w:spacing w:after="120" w:before="240"/>
      </w:pPr>
      <w:r>
        <w:t xml:space="preserve">Блок «Платформа» — 8 сценариев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5300"/>
        <w:gridCol w:w="1900"/>
      </w:tblGrid>
      <w:tr>
        <w:trPr>
          <w:tblHeader/>
        </w:trP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№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Сценарий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Критерий приёмки (кратко)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Когда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Настройка прав на источник / таблицу-API / колонку-поле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≥3 комбинации на каждый уровень, 100% строго по правам, 0 отклонений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Права на уровне данных (по номеру договора/ФИО)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≥10 запросов (разрешённые + неразрешённые), 100% корректный результат, отдельно — пограничный случай (похожий номер) с 0 ложных допусков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2–3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Доступ через API (n8n / собственная разработка)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Тот же набор, что в сценарии 2, 100% совпадение поведения с чат-интерфейсом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Анонимизация данных из подключённых источников (RAG/БД/API/MCP)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≥10 запросов, ≥95% ПДн обезличено на выходе во внешнюю LLM и корректно деанонимизировано в ответе; отдельная проверка исходящего трафика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Комплексные запросы из разных источников (CRM + DWH)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≥8 случаев (права в обоих / ни в одном / только в одном источнике) — единое заранее зафиксированное поведение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RAG-проверка документа на соответствие нормативке ЦБ РФ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≥10 документов (включая заведомо несоответствующие) — все несоответствия выявлены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7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Интеграция с почтой сотрудника (IMAP)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≥5 запросов, 100% корректное саммари по своему ящику, 0 кросс-доступа к чужим ящикам (≥5 попыток)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  <w:tr>
        <w:tc>
          <w:tcPr>
            <w:tcW w:type="dxa" w:w="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8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Сверки данных (две колонки витрины DWH)</w:t>
            </w:r>
          </w:p>
        </w:tc>
        <w:tc>
          <w:tcPr>
            <w:tcW w:type="dxa" w:w="5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≥10 внесённых расхождений — 100% выявлено, ≤1 ложное срабатывание на 20 согласованных записей</w:t>
            </w:r>
          </w:p>
        </w:tc>
        <w:tc>
          <w:tcPr>
            <w:tcW w:type="dxa" w:w="19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Этап 3</w:t>
            </w:r>
          </w:p>
        </w:tc>
      </w:tr>
    </w:tbl>
    <w:p>
      <w:pPr>
        <w:spacing w:after="120"/>
      </w:pPr>
      <w:r>
        <w:t xml:space="preserve">Наблюдение по нагрузке тестирования: 13 из 17 сценариев сконцентрированы на Этапе 3 (2 недели) — стоит заранее распределить их по дням/трекам между членами пилотной группы, а не пытаться пройти все в последнюю неделю этапа.</w:t>
      </w:r>
    </w:p>
    <w:p>
      <w:pPr>
        <w:pStyle w:val="Heading1"/>
        <w:spacing w:after="160" w:before="320"/>
      </w:pPr>
      <w:r>
        <w:t xml:space="preserve">4. Что входит / что не входит (напоминание, чтобы не расширять объём по ходу пилота)</w:t>
      </w:r>
    </w:p>
    <w:p>
      <w:pPr>
        <w:spacing w:after="120"/>
      </w:pPr>
      <w:r>
        <w:rPr>
          <w:b/>
          <w:bCs/>
        </w:rPr>
        <w:t xml:space="preserve">Не входит</w:t>
      </w:r>
      <w:r>
        <w:t xml:space="preserve"> (зафиксировано в ТЗ, требует отдельного допсоглашения при изменении): промышленная эксплуатация; постоянная лицензия; сопровождение после пилота; источники/роли/RAG-коллекции сверх согласованных двух; нагрузочное тестирование и гарантии производительности; </w:t>
      </w:r>
      <w:r>
        <w:rPr>
          <w:b/>
          <w:bCs/>
        </w:rPr>
        <w:t xml:space="preserve">стоимость инфраструктуры, GPU, лицензий и оплата API облачной модели</w:t>
      </w:r>
      <w:r>
        <w:t xml:space="preserve">; доработки функциональности сверх согласованного состава.</w:t>
      </w:r>
    </w:p>
    <w:p>
      <w:pPr>
        <w:pStyle w:val="Heading1"/>
        <w:spacing w:after="160" w:before="320"/>
      </w:pPr>
      <w:r>
        <w:t xml:space="preserve">5. Риски, специфичные для этого пилота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Активный риск: доступ к КХД/ESB просрочен и продолжает сдвигаться. </w:t>
      </w:r>
      <w:r>
        <w:t xml:space="preserve">Номинальное начало работ — 27.07.2026, целевая дата доступа — 31.07.2026; на 04.08.2026 доступ так и не предоставлен (просрочка растёт день за днём, уже 4+ дня к цели и 8+ к номинальному старту). Пока это не эскалировано в дни, но требует внимания: если доступ не откроется в ближайшие дни, стоит поднять вопрос с Д8 напрямую, а не ждать дальше — при повторении такой задержки на Этапе 2 (интеграция MCP/RAG-компании, тоже вне прямого контроля подрядчика) накопленный сдвиг может дотянуть Этап 4 до середины сентября вместо 04.09, что стоит проговорить с Д8 заранее, а не постфактум.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Зависимость от ESB-шины Д8 </w:t>
      </w:r>
      <w:r>
        <w:t xml:space="preserve">— единственный внешний интеграционный канал вне прямого контроля подрядчика; задержка с доступом к нему сдвигает весь Этап 2.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Неопределённость источника «RAG-компании» </w:t>
      </w:r>
      <w:r>
        <w:t xml:space="preserve">— см. открытый вопрос в разделе 0; стоит закрыть до начала Этапа 2, иначе рискует стать блокером интеграции в последний момент.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13 сценариев на 2 недели Этапа 3 </w:t>
      </w:r>
      <w:r>
        <w:t xml:space="preserve">— организационный риск перегрузки пилотной группы Д8, а не технический; стоит распределить нагрузку заранее (см. наблюдение выше).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Разница между целевыми порогами и фактическим результатом </w:t>
      </w:r>
      <w:r>
        <w:t xml:space="preserve">— критерии приёмки (≥98%, ≥95%, ≥90% и т. д.) — это пороги для приёмки, а не гарантия, что первая попытка их достигнет с первого раза; сценарий 6 «Анонимизатора» прямо предусматривает, что результат ниже порога — повод для донастройки, а не автоматический провал пилота. Стоит явно объяснить это Д8 заранее, чтобы промежуточный неполный результат не читался как срыв пилота.</w:t>
      </w:r>
    </w:p>
    <w:p>
      <w:pPr>
        <w:pStyle w:val="Heading1"/>
        <w:spacing w:after="160" w:before="320"/>
      </w:pPr>
      <w:r>
        <w:t xml:space="preserve">См. также</w:t>
      </w:r>
    </w:p>
    <w:p>
      <w:pPr>
        <w:pStyle w:val="ListParagraph"/>
        <w:numPr>
          <w:ilvl w:val="0"/>
          <w:numId w:val="1"/>
        </w:numPr>
        <w:spacing w:after="120"/>
      </w:pPr>
      <w:hyperlink w:history="1" r:id="rId-skkslnuyarxktfeipate">
        <w:r>
          <w:rPr>
            <w:rStyle w:val="Hyperlink"/>
            <w:u w:val="single"/>
          </w:rPr>
          <w:t xml:space="preserve">case-03-pilot-tz-ai-guard.md</w:t>
        </w:r>
      </w:hyperlink>
      <w:r>
        <w:t xml:space="preserve"> — разбор самого ТЗ и что оно означает для давних открытых вопросов базы.</w:t>
      </w:r>
    </w:p>
    <w:p>
      <w:pPr>
        <w:pStyle w:val="ListParagraph"/>
        <w:numPr>
          <w:ilvl w:val="0"/>
          <w:numId w:val="1"/>
        </w:numPr>
        <w:spacing w:after="120"/>
      </w:pPr>
      <w:hyperlink w:history="1" r:id="rIdacsefflaekcdrqjrrnn4w">
        <w:r>
          <w:rPr>
            <w:rStyle w:val="Hyperlink"/>
            <w:u w:val="single"/>
          </w:rPr>
          <w:t xml:space="preserve">docs/sources/tz-pilot-ikd-1-pro-ai-guard.docx</w:t>
        </w:r>
      </w:hyperlink>
      <w:r>
        <w:t xml:space="preserve"> — исходный документ, включая Приложение №2 (форма Акта сдачи-приёмки).</w:t>
      </w:r>
    </w:p>
    <w:p>
      <w:pPr>
        <w:pStyle w:val="ListParagraph"/>
        <w:numPr>
          <w:ilvl w:val="0"/>
          <w:numId w:val="1"/>
        </w:numPr>
        <w:spacing w:after="120"/>
      </w:pPr>
      <w:hyperlink w:history="1" r:id="rIdeyxw077mrg6iontutvzkc">
        <w:r>
          <w:rPr>
            <w:rStyle w:val="Hyperlink"/>
            <w:u w:val="single"/>
          </w:rPr>
          <w:t xml:space="preserve">case-01-d8-014-brief.md</w:t>
        </w:r>
      </w:hyperlink>
      <w:r>
        <w:t xml:space="preserve">, </w:t>
      </w:r>
      <w:hyperlink w:history="1" r:id="rIdhyshrvoj4jrjc6obllxqa">
        <w:r>
          <w:rPr>
            <w:rStyle w:val="Hyperlink"/>
            <w:u w:val="single"/>
          </w:rPr>
          <w:t xml:space="preserve">case-02-tz-deep-analysis-and-proposals.md</w:t>
        </w:r>
      </w:hyperlink>
      <w:r>
        <w:t xml:space="preserve"> — более ранняя работа с тем же клиентом (Д8).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-skkslnuyarxktfeipate" Type="http://schemas.openxmlformats.org/officeDocument/2006/relationships/hyperlink" Target="case-03-pilot-tz-ai-guard.md" TargetMode="External"/><Relationship Id="rIdacsefflaekcdrqjrrnn4w" Type="http://schemas.openxmlformats.org/officeDocument/2006/relationships/hyperlink" Target="../sources/tz-pilot-ikd-1-pro-ai-guard.docx" TargetMode="External"/><Relationship Id="rIdeyxw077mrg6iontutvzkc" Type="http://schemas.openxmlformats.org/officeDocument/2006/relationships/hyperlink" Target="case-01-d8-014-brief.md" TargetMode="External"/><Relationship Id="rIdhyshrvoj4jrjc6obllxqa" Type="http://schemas.openxmlformats.org/officeDocument/2006/relationships/hyperlink" Target="case-02-tz-deep-analysis-and-proposals.md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2026-08-06T10:30:27.660Z</dcterms:created>
  <dcterms:modified xsi:type="dcterms:W3CDTF">2026-08-06T10:30:27.677Z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