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будет исправлено.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разработку.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не вписать. Нужен отдельный CustomPIIType в обход UI, в конфиге pii_shield/config.py — это делает команда платформы.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 (AUTHENTICATION_PROVIDER=ldap или basic), сразу оба не работают. У «Рабочего места ИБ» есть свой отдельный локальный break-glass пароль, не зависящий от этого переключателя. Если сейчас не работает вообще ничего — это не дизайн, а сбой, нужна отдельная диагностика (возможно, тот же баг, что и с редиректом на app.local:8080).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По документации — нет, конфиг рассчитан на один AD-домен (один LDAP-хост, один base DN, один email-домен принципала). Мультидоменная авторизация потребует доработки от команды платформы.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2026-08-19T09:28:35.395Z</dcterms:created>
  <dcterms:modified xsi:type="dcterms:W3CDTF">2026-08-19T09:28:35.395Z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