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Руководство администратора информационной безопасности платформы «Камерата»</w:t>
      </w:r>
    </w:p>
    <w:p>
      <w:pPr>
        <w:spacing w:after="130"/>
      </w:pPr>
      <w:r>
        <w:t xml:space="preserve">Это руководство — для сотрудника ИБ (Оператор ИБ / Администратор ИБ): управление доступом, защита персональных данных и коммерческой тайны, аудит, реагирование на инциденты и соответствие требованиям регулятора. Это более глубокая, специализированная версия материала, чем в общем «Руководстве администратора» — там та же тема дана компактно, здесь — с полными процедурами, таблицами соответствия и техническими деталями, нужными именно ИБ-специалисту.</w:t>
      </w:r>
    </w:p>
    <w:p>
      <w:pPr>
        <w:spacing w:after="130"/>
      </w:pPr>
      <w:r>
        <w:t xml:space="preserve">Учётная запись администратора ИБ не предназначена для аналитических запросов к данным — если ИБ-специалисту по работе нужен доступ к данным, для этого заводится отдельная учётная запись с обычной ролью пользователя.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1. Зона ответственности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Зона ответственности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включает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НЕ включает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Управление доступом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Пользователи, роли, коллекции, политики доступа (OPA)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Инфраструктура, сетевые правила, firewall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Аудит и мониторинг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Журналы событий, операции с персональными данными, активность пользователей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Системные логи Docker/Kubernetes, метрики Prometheus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Защита данных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Настройки PII Shield, теги персональных данных, пороги обнаружения, база секретов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Шифрование носителей, резервное копирование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Реагирование на инциденты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Блокировка пользователей, экспорт журналов аудита, эскалация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Восстановление системы, обновление платформы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Настройка инфраструктуры, резервное копирование и обновление платформы — ответственность технической команды (DevOps/SRE), не администратора ИБ.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2. Три системы, которые легко перепутать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Каталог</w:t>
      </w:r>
      <w:r>
        <w:t xml:space="preserve"> — единая витрина данных компании и исходная личность пользователя (единый вход), плюс права на сам каталог.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«Сотрудники ИБ»</w:t>
      </w:r>
      <w:r>
        <w:t xml:space="preserve"> — отдельный, суверенный реестр того, кто может войти в раздел администрирования с ролью </w:t>
      </w:r>
      <w:r>
        <w:rPr>
          <w:b/>
          <w:bCs/>
        </w:rPr>
        <w:t xml:space="preserve">Оператор ИБ</w:t>
      </w:r>
      <w:r>
        <w:t xml:space="preserve"> или </w:t>
      </w:r>
      <w:r>
        <w:rPr>
          <w:b/>
          <w:bCs/>
        </w:rPr>
        <w:t xml:space="preserve">Администратор ИБ</w:t>
      </w:r>
      <w:r>
        <w:t xml:space="preserve">. Не наследуется из корпоративного каталога никогда — добавление себя или коллеги в группу каталога не даёт полномочий ИБ автоматически. Это осознанное архитектурное решение: полномочия надзора не должны выдаваться средствами общей ИТ-инфраструктуры.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«Пользователи и доступ»</w:t>
      </w:r>
      <w:r>
        <w:t xml:space="preserve"> — какие языковые модели и с каким лимитом токенов доступны пользователю в чате; к входу в администрирование отношения не имеет.</w:t>
      </w:r>
    </w:p>
    <w:p>
      <w:pPr>
        <w:spacing w:after="130"/>
      </w:pPr>
      <w:r>
        <w:rPr>
          <w:b/>
          <w:bCs/>
        </w:rPr>
        <w:t xml:space="preserve">Оператор ИБ</w:t>
      </w:r>
      <w:r>
        <w:t xml:space="preserve"> не может редактировать других сотрудников ИБ и менять настройки безопасности; </w:t>
      </w:r>
      <w:r>
        <w:rPr>
          <w:b/>
          <w:bCs/>
        </w:rPr>
        <w:t xml:space="preserve">Администратор ИБ</w:t>
      </w:r>
      <w:r>
        <w:t xml:space="preserve"> — полные права в разделе администрирования. Роль в «Сотрудники ИБ» — надстройка поверх базовой роли платформы (Пользователь/Администратор), а не замена ей; возможна комбинация «Пользователь + Оператор ИБ».</w:t>
      </w:r>
    </w:p>
    <w:p>
      <w:pPr>
        <w:spacing w:after="130"/>
      </w:pPr>
      <w:r>
        <w:rPr>
          <w:b/>
          <w:bCs/>
        </w:rPr>
        <w:t xml:space="preserve">Разделение обязанностей.</w:t>
      </w:r>
      <w:r>
        <w:t xml:space="preserve"> Администратор платформы (эксплуатация, развёртывание, обновления) и администратор ИБ (политики, классы данных, состав тех, кто наделён полномочиями надзора) — два ортогональных набора полномочий, ни один не приобретает полномочий другого автоматически. Тот, кто настраивает платформу технически, не получает вместе с этим право решать, что можно выпускать наружу и кто может просматривать журналы.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3. Управление пользователями</w:t>
      </w:r>
    </w:p>
    <w:p>
      <w:pPr>
        <w:pStyle w:val="Heading2"/>
        <w:spacing w:after="110" w:before="220"/>
      </w:pPr>
      <w:r>
        <w:t xml:space="preserve">Создание пользователя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Открыть «Сотрудники ИБ» → «+Добавить» (для роли в самой админке) либо Каталог → «Пользователи»/«Админы» (для базовой роли платформы — см. «Руководство администратора», раздел 2, там же оба практических кейса пошагово).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Заполнить обязательные поля: логин (латиница и цифры, нельзя изменить после создания), email, роль, при необходимости — подразделение (для группировки и аудита).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Назначить доступные коллекции — пользователь получит доступ только к выбранным, других данных не увидит.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Сохранить.</w:t>
      </w:r>
    </w:p>
    <w:p>
      <w:pPr>
        <w:spacing w:after="130"/>
      </w:pPr>
      <w:r>
        <w:t xml:space="preserve">Изменение назначений коллекций вступает в силу немедленно — следующий запрос пользователя уже учитывает новые права, без перезапуска и без прерывания активной сессии для уже открытых прежде коллекций.</w:t>
      </w:r>
    </w:p>
    <w:p>
      <w:pPr>
        <w:pStyle w:val="Heading2"/>
        <w:spacing w:after="110" w:before="220"/>
      </w:pPr>
      <w:r>
        <w:t xml:space="preserve">Блокировка, разблокировка, удаление</w:t>
      </w:r>
    </w:p>
    <w:p>
      <w:pPr>
        <w:spacing w:after="130"/>
      </w:pPr>
      <w:r>
        <w:t xml:space="preserve">Блокировка немедленно завершает все активные сессии пользователя и запрещает новые входы; данные пользователя и история его запросов сохраняются. Следующий запрос заблокированного пользователя получает отказ, уже выполняющиеся запросы завершаются штатно. Для разблокировки — открыть карточку пользователя и разблокировать, при необходимости одновременно сбросив пароль.</w:t>
      </w:r>
    </w:p>
    <w:p>
      <w:pPr>
        <w:spacing w:after="130"/>
      </w:pPr>
      <w:r>
        <w:rPr>
          <w:b/>
          <w:bCs/>
        </w:rPr>
        <w:t xml:space="preserve">Удаление необратимо.</w:t>
      </w:r>
      <w:r>
        <w:t xml:space="preserve"> История запросов и записи аудита сохраняются, но сама учётная запись восстановлению не подлежит. Для удаления требуется двойное подтверждение (ввод имени пользователя + отдельное нажатие). Для уволившихся сотрудников рекомендуется блокировать, а не удалять — это сохраняет аудиторский след.</w:t>
      </w:r>
    </w:p>
    <w:p>
      <w:pPr>
        <w:pStyle w:val="Heading2"/>
        <w:spacing w:after="110" w:before="220"/>
      </w:pPr>
      <w:r>
        <w:t xml:space="preserve">Периодическая проверка</w:t>
      </w:r>
    </w:p>
    <w:p>
      <w:pPr>
        <w:spacing w:after="130"/>
      </w:pPr>
      <w:r>
        <w:t xml:space="preserve">Регулярно сверяйте, у кого есть доступ к коллекциям с чувствительными данными — раздел коллекции показывает всех пользователей с назначенным к ней доступом. Колонка «Последний вход» в списке пользователей помогает выявить неактивные учётные записи, которые стоит заблокировать.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4. Модель доступа: домены, коллекции, построчная фильтрация</w:t>
      </w:r>
    </w:p>
    <w:p>
      <w:pPr>
        <w:spacing w:after="130"/>
      </w:pPr>
      <w:r>
        <w:t xml:space="preserve">Коллекция — единица данных и одновременно граница доступа: пользователь видит только те коллекции, которые ему назначены явно.</w:t>
      </w:r>
    </w:p>
    <w:p>
      <w:pPr>
        <w:spacing w:after="130"/>
      </w:pPr>
      <w:r>
        <w:rPr>
          <w:b/>
          <w:bCs/>
        </w:rPr>
        <w:t xml:space="preserve">Построчная фильтрация (row-level security)</w:t>
      </w:r>
      <w:r>
        <w:t xml:space="preserve"> реализована через политики авторизации (OPA — Open Policy Agent) поверх федеративных SQL-запросов: политики формируют row-фильтры на основе бизнес-доменов каталога, назначенных роли/персоне пользователя. Формируются </w:t>
      </w:r>
      <w:r>
        <w:rPr>
          <w:b/>
          <w:bCs/>
        </w:rPr>
        <w:t xml:space="preserve">автоматически</w:t>
      </w:r>
      <w:r>
        <w:t xml:space="preserve"> из доменов каталога — пользователю доступны строки таблиц, отнесённых к доменам его роли. Правила выражены на языке Rego и синхронизируются из метаданных каталога.</w:t>
      </w:r>
    </w:p>
    <w:p>
      <w:pPr>
        <w:spacing w:after="130"/>
      </w:pPr>
      <w:r>
        <w:t xml:space="preserve">Редактирование политик через интерфейс недоступно — это намеренное ограничение против случайного изменения. Изменение политик — операция высокого риска, выполняется только технической командой через конфигурационные файлы платформы, с версионированием. Если текущие политики не соответствуют требованиям ИБ — оформляется запрос на изменение через внутреннюю процедуру, а не правится напрямую.</w:t>
      </w:r>
    </w:p>
    <w:p>
      <w:pPr>
        <w:spacing w:after="130"/>
      </w:pPr>
      <w:r>
        <w:t xml:space="preserve">Маскирование персональных данных в ответах и разрешения на экспорт настраиваются отдельно (PII Shield и роли пользователей), не политиками доступа — это две разные системы, решающие разные задачи (см. также раздел 6 общего руководства администратора о том, что «домен» = что можно читать, а «класс данных» = куда можно отправить — независимые оси).</w:t>
      </w:r>
    </w:p>
    <w:p>
      <w:pPr>
        <w:spacing w:after="130"/>
      </w:pPr>
      <w:r>
        <w:rPr>
          <w:b/>
          <w:bCs/>
        </w:rPr>
        <w:t xml:space="preserve">Ключевой принцип:</w:t>
      </w:r>
      <w:r>
        <w:t xml:space="preserve"> разграничение доступа применяется </w:t>
      </w:r>
      <w:r>
        <w:rPr>
          <w:b/>
          <w:bCs/>
        </w:rPr>
        <w:t xml:space="preserve">до</w:t>
      </w:r>
      <w:r>
        <w:t xml:space="preserve"> обезличивания. Замаскированный ответ по записи, к которой у пользователя нет доступа, — тоже нарушение; платформа не показывает такую запись вовсе, даже в маскированном виде.</w:t>
      </w:r>
    </w:p>
    <w:p>
      <w:pPr>
        <w:pStyle w:val="Heading2"/>
        <w:spacing w:after="110" w:before="220"/>
      </w:pPr>
      <w:r>
        <w:t xml:space="preserve">Кейс: как проверить и выдать доступ по домену/коллекции</w:t>
      </w:r>
    </w:p>
    <w:p>
      <w:pPr>
        <w:spacing w:after="130"/>
      </w:pPr>
      <w:r>
        <w:t xml:space="preserve">С точки зрения ИБ здесь два разных действия — назначение доступа и проверка того, что он реально соответствует построчным правилам.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Назначение коллекции пользователю</w:t>
      </w:r>
      <w:r>
        <w:t xml:space="preserve"> — «Пользователи и доступ» → карточка пользователя → «Доступ к данным» → «Добавить коллекцию» → выбрать из списка → «Сохранить». Действует немедленно, без перезапуска и без прерывания уже открытой сессии — ограничение или расширение доступа применится со следующего запроса пользователя.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Отзыв</w:t>
      </w:r>
      <w:r>
        <w:t xml:space="preserve"> — тем же путём, «Отозвать» у нужной коллекции. Тоже немедленно, с той же оговоркой про уже открытую сессию.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Массовое назначение «на команду» не предусмотрено</w:t>
      </w:r>
      <w:r>
        <w:t xml:space="preserve"> — доступ к коллекциям выдаётся индивидуально каждому пользователю, даже если все они в одном подразделении. Подразделение (команда) в Каталоге — это группировка для аудита и, опционально, область бюджета, не единица прав на данные.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Периодический аудит по коллекции</w:t>
      </w:r>
      <w:r>
        <w:t xml:space="preserve"> — «Источники данных» → нужная коллекция → «Пользователи»: список всех, у кого есть к ней доступ. Используется для регулярной проверки (раздел 9) — что доступ к чувствительным коллекциям соответствует текущим должностям.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Построчный доступ проверять отдельно</w:t>
      </w:r>
      <w:r>
        <w:t xml:space="preserve"> — сами правила (Rego, из бизнес-доменов каталога) администратор ИБ не редактирует; для проверки, что фильтр реально применяется к конкретному домену, используется предпросмотр «как будет выглядеть выборка под такой-то ролью» и «Карта покрытия» (раздел «Управление данными» общего руководства администратора) — показывает, какие таблицы/колонки уже покрыты правилами, а какие ещё нет.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Важно.</w:t>
      </w:r>
      <w:r>
        <w:t xml:space="preserve"> Назначение коллекции (шаг 1) и построчный доступ внутри неё (шаг 5) — независимые слои. Выдать пользователю коллекцию и ожидать, что построчные правила автоматически «подхватят» нового человека, нельзя проверить на глаз — оба слоя стоит сверять по отдельности, особенно для коллекций с чувствительными данными.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5. Защита персональных данных: PII Shield</w:t>
      </w:r>
    </w:p>
    <w:p>
      <w:pPr>
        <w:spacing w:after="130"/>
      </w:pPr>
      <w:r>
        <w:t xml:space="preserve">PII Shield — встроенный компонент защиты персональных данных. Автоматически обнаруживает персональные данные в ответах агентов и маскирует их перед выдачей пользователю, без ручной проверки. Все операции маскирования журналируются.</w:t>
      </w:r>
    </w:p>
    <w:p>
      <w:pPr>
        <w:pStyle w:val="Heading2"/>
        <w:spacing w:after="110" w:before="220"/>
      </w:pPr>
      <w:r>
        <w:t xml:space="preserve">Три механизма обнаружения одновременно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</w:rPr>
        <w:t xml:space="preserve">Аннотации каталога метаданных</w:t>
      </w:r>
      <w:r>
        <w:t xml:space="preserve"> — основной механизм для структурированных данных: поле, помеченное в каталоге как персональное, маскируется всегда, по факту разметки, без разбора содержимого.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</w:rPr>
        <w:t xml:space="preserve">Формальные правила для типизированных идентификаторов</w:t>
      </w:r>
      <w:r>
        <w:t xml:space="preserve"> — свыше 250 встроенных правил (телефон, email, ИНН, СНИЛС, паспорт, банковские карты/счета, ОГРН, IBAN, VIN, даты рождения, IP-адреса, госномера, токены доступа), с проверкой контрольных соотношений для 6 типов — это исключает ложные срабатывания на похожих по формату числах.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</w:rPr>
        <w:t xml:space="preserve">NER для свободного текста</w:t>
      </w:r>
      <w:r>
        <w:t xml:space="preserve"> — раздельно для русского и английского языков, покрывает то, что не описано разметкой каталога и не подходит под формальные правила.</w:t>
      </w:r>
    </w:p>
    <w:p>
      <w:pPr>
        <w:spacing w:after="130"/>
      </w:pPr>
      <w:r>
        <w:t xml:space="preserve">Отсутствие разметки каталога не создаёт незащищённый путь наружу — защита работает и без неё, за счёт двух других механизмов. Разметка делает защиту </w:t>
      </w:r>
      <w:r>
        <w:rPr>
          <w:b/>
          <w:bCs/>
        </w:rPr>
        <w:t xml:space="preserve">предсказуемой</w:t>
      </w:r>
      <w:r>
        <w:t xml:space="preserve">: чем больше размечено, тем большая доля маскирования выполняется по объявленному правилу, а не по распознаванию — поэтому работа куратора данных по разметке каталога напрямую конвертируется в надёжность защиты.</w:t>
      </w:r>
    </w:p>
    <w:p>
      <w:pPr>
        <w:pStyle w:val="Heading2"/>
        <w:spacing w:after="110" w:before="220"/>
      </w:pPr>
      <w:r>
        <w:t xml:space="preserve">Настройка порогов обнаружения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 умолчанию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Описание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Минимальный порог обнаружения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0,4 (40%)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Уверенность модели, при которой сущность считается персональными данными. Снижение → больше ложных срабатываний, повышение → риск пропуска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Сканирование ответов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Включено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Отключение разрешает передачу немаскированных персональных данных — требует явного обоснования ИБ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Колоночное маскирование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Включено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Учитывает теги персональных данных из каталога для точного маскирования по столбцам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Стратегия маскирования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Токенизация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PERSON_1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PHONE_1</w:t>
            </w:r>
            <w:r>
              <w:t xml:space="preserve"> и т.д.; альтернативы — псевдонимизация, полное скрытие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Снижение порога ниже 0,3 может приводить к маскированию нечувствительных данных и заметному снижению качества ответов — изменять осторожно, с фиксацией обоснования.</w:t>
      </w:r>
    </w:p>
    <w:p>
      <w:pPr>
        <w:pStyle w:val="Heading2"/>
        <w:spacing w:after="110" w:before="220"/>
      </w:pPr>
      <w:r>
        <w:t xml:space="preserve">Теги персональных данных по коллекциям</w:t>
      </w:r>
    </w:p>
    <w:p>
      <w:pPr>
        <w:spacing w:after="130"/>
      </w:pPr>
      <w:r>
        <w:t xml:space="preserve">Назначение тегов — задача куратора данных, но администратор ИБ должен периодически проверять полноту разметки.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Тег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Тип данных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Рекомендуемая стратегия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PII.FullName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ФИО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Токенизация (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PERSON_N</w:t>
            </w:r>
            <w:r>
              <w:t xml:space="preserve">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PII.Phone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Телефон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Маскирование (частичное)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PII.Email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Email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Маскирование (частичное)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PII.TaxID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ИНН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Токенизация (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INN_N</w:t>
            </w:r>
            <w:r>
              <w:t xml:space="preserve">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PII.SNILS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СНИЛС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Полное скрытие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PII.PassportID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Паспортные данные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Полное скрытие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PII.BankCard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Номер карты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Маскирование (последние цифры)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PII.SensitiveData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Специальные категории персональных данных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Полное скрытие</w:t>
            </w:r>
          </w:p>
        </w:tc>
      </w:tr>
    </w:tbl>
    <w:p>
      <w:pPr>
        <w:spacing w:after="100"/>
      </w:pPr>
    </w:p>
    <w:p>
      <w:pPr>
        <w:pStyle w:val="Heading2"/>
        <w:spacing w:after="110" w:before="220"/>
      </w:pPr>
      <w:r>
        <w:t xml:space="preserve">Журнал маскирования</w:t>
      </w:r>
    </w:p>
    <w:p>
      <w:pPr>
        <w:spacing w:after="130"/>
      </w:pPr>
      <w:r>
        <w:t xml:space="preserve">Каждая запись содержит временную метку, пользователя, коллекцию, тип обнаруженной персональной данной (не само значение), применённую стратегию и статус операции. Фильтры — по дате, пользователю, типу, коллекции; экспорт — CSV за выбранный период.</w:t>
      </w:r>
    </w:p>
    <w:p>
      <w:pPr>
        <w:spacing w:after="130"/>
      </w:pPr>
      <w:r>
        <w:t xml:space="preserve">Регулярно проверяйте записи со статусом «Ошибка маскирования» — случаи, когда персональные данные были обнаружены, но маскирование не выполнено; каждый такой случай требует ручного разбора.</w:t>
      </w:r>
    </w:p>
    <w:p>
      <w:pPr>
        <w:pStyle w:val="Heading2"/>
        <w:spacing w:after="110" w:before="220"/>
      </w:pPr>
      <w:r>
        <w:t xml:space="preserve">Таблица соответствий и восстановление</w:t>
      </w:r>
    </w:p>
    <w:p>
      <w:pPr>
        <w:spacing w:after="130"/>
      </w:pPr>
      <w:r>
        <w:t xml:space="preserve">Таблица соответствий «метка ↔ исходное значение» живёт только внутри контура, привязана к сессии, срок жизни по умолчанию — 60 минут, и не передаётся во внешнюю модель ни при каких условиях. Обратное восстановление исходного значения из метки невозможно без этой таблицы. Если хранилище соответствий недоступно при старте — компонент защиты </w:t>
      </w:r>
      <w:r>
        <w:rPr>
          <w:b/>
          <w:bCs/>
        </w:rPr>
        <w:t xml:space="preserve">не запускается</w:t>
      </w:r>
      <w:r>
        <w:t xml:space="preserve">: тихого отката в менее защищённый режим нет.</w:t>
      </w:r>
    </w:p>
    <w:p>
      <w:pPr>
        <w:pStyle w:val="Heading2"/>
        <w:spacing w:after="110" w:before="220"/>
      </w:pPr>
      <w:r>
        <w:t xml:space="preserve">Задержка обработки</w:t>
      </w:r>
    </w:p>
    <w:p>
      <w:pPr>
        <w:spacing w:after="130"/>
      </w:pPr>
      <w:r>
        <w:t xml:space="preserve">Формальные правила — медиана 0,05 мс; NER — медиана 1,08 мс, p95 1,56 мс; совокупно — не более 2 мс при p95. Для табличных данных из источников — до 0,5 секунды при лимите 150–200 строк.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6. База секретов: коммерческая тайна</w:t>
      </w:r>
    </w:p>
    <w:p>
      <w:pPr>
        <w:spacing w:after="130"/>
      </w:pPr>
      <w:r>
        <w:t xml:space="preserve">Отдельный от персональных данных механизм — защищает коммерческую тайну компании (внутренние регламенты, коммерческие условия, реквизиты договоров) с ручным решением при обнаружении совпадения. Не путать с PII Shield (раздел 5) — тот работает автоматически и всегда, без участия человека, и именно для персональных, а не коммерческих данных.</w:t>
      </w:r>
    </w:p>
    <w:p>
      <w:pPr>
        <w:pStyle w:val="Heading2"/>
        <w:spacing w:after="110" w:before="220"/>
      </w:pPr>
      <w:r>
        <w:t xml:space="preserve">Как работает детекция</w:t>
      </w:r>
    </w:p>
    <w:p>
      <w:pPr>
        <w:spacing w:after="130"/>
      </w:pPr>
      <w:r>
        <w:t xml:space="preserve">Текст фрагмента коммерческой тайны заводится вручную (текст, уровень секретности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SECRET</w:t>
      </w:r>
      <w:r>
        <w:t xml:space="preserve">/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CONFIDENTIAL</w:t>
      </w:r>
      <w:r>
        <w:t xml:space="preserve">/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INTERNAL</w:t>
      </w:r>
      <w:r>
        <w:t xml:space="preserve">/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PUBLIC</w:t>
      </w:r>
      <w:r>
        <w:t xml:space="preserve">, категория, тип документа). Дальше автоматически: текст режется на фрагменты (~400 токенов, 25% перекрытие), каждый векторизуется и сохраняется в базу — используется сразу, без отдельного шага переиндексации. При проверке нового текста каждый его фрагмент ищется в базе по смысловой близости; максимальное совпадение решает исход: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Оценка совпадения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ниже 0,75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PASS</w:t>
            </w:r>
            <w:r>
              <w:t xml:space="preserve"> — пропустить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0,75–0,88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REVIEW</w:t>
            </w:r>
            <w:r>
              <w:t xml:space="preserve"> — на ручную проверку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0,88 и выше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BLOCK</w:t>
            </w:r>
            <w:r>
              <w:t xml:space="preserve"> — заблокировать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Совпадение по справочнику ключевых слов добавляет небольшой бонус к оценке. Эти же пороги используются в экране «Управление базой» — общая настройка, а не параметр отдельной проверки.</w:t>
      </w:r>
    </w:p>
    <w:p>
      <w:pPr>
        <w:pStyle w:val="Heading2"/>
        <w:spacing w:after="110" w:before="220"/>
      </w:pPr>
      <w:r>
        <w:t xml:space="preserve">Кастомные атрибуты маскирования (регулярные выражения)</w:t>
      </w:r>
    </w:p>
    <w:p>
      <w:pPr>
        <w:spacing w:after="130"/>
      </w:pPr>
      <w:r>
        <w:t xml:space="preserve">База секретов → «Regex-паттерны». Форма: название (понятное имя), regex-паттерн (синтаксис Python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re</w:t>
      </w:r>
      <w:r>
        <w:t xml:space="preserve">, валидируется перед сохранением), тип токена. Тип токена — закрытый список из 5 значений: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PERSON</w:t>
      </w:r>
      <w:r>
        <w:t xml:space="preserve">,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PROJECT</w:t>
      </w:r>
      <w:r>
        <w:t xml:space="preserve">,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COMPANY</w:t>
      </w:r>
      <w:r>
        <w:t xml:space="preserve">,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PRODUCT</w:t>
      </w:r>
      <w:r>
        <w:t xml:space="preserve">,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CUSTOM</w:t>
      </w:r>
      <w:r>
        <w:t xml:space="preserve">; свой префикс вписать нельзя — если ни один из первых четырёх не подходит по смыслу, выбирается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CUSTOM</w:t>
      </w:r>
      <w:r>
        <w:t xml:space="preserve"> (у которого единый общий префикс маски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[CUSTOM_N]</w:t>
      </w:r>
      <w:r>
        <w:t xml:space="preserve">, без собственного узнаваемого имени).</w:t>
      </w:r>
    </w:p>
    <w:p>
      <w:pPr>
        <w:spacing w:after="130"/>
      </w:pPr>
      <w:r>
        <w:t xml:space="preserve">Проверка — по кнопке «Изменить» у сохранённого паттерна, поле «Тестовый текст» и кнопка «Проверить». </w:t>
      </w:r>
      <w:r>
        <w:rPr>
          <w:b/>
          <w:bCs/>
        </w:rPr>
        <w:t xml:space="preserve">Частая ошибка:</w:t>
      </w:r>
      <w:r>
        <w:t xml:space="preserve"> в поле «Тестовый текст» нужно вводить реальный пример данных, а не сам regex-паттерн — вставка самого паттерна вместо примера закономерно даёт «Совпадений не найдено», это не значит, что паттерн не работает.</w:t>
      </w:r>
    </w:p>
    <w:p>
      <w:pPr>
        <w:spacing w:after="130"/>
      </w:pPr>
      <w:r>
        <w:rPr>
          <w:b/>
          <w:bCs/>
        </w:rPr>
        <w:t xml:space="preserve">Важно:</w:t>
      </w:r>
      <w:r>
        <w:t xml:space="preserve"> «Тест-площадка: блэклист» проверяет только термины блэклиста — она не проверяет пользовательские regex-паттерны, даже если рядом написано «Детекция через pii-shield». Проверять кастомный паттерн нужно через инлайн-тест конкретного паттерна (выше) либо через реальный чат и журнал LLM-сессий.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7. Журнал аудита</w:t>
      </w:r>
    </w:p>
    <w:p>
      <w:pPr>
        <w:spacing w:after="130"/>
      </w:pPr>
      <w:r>
        <w:t xml:space="preserve">Записи хранятся в PostgreSQL; доступ к журналу ограничен ролью администратора ИБ. Аудит разнесён по трём независимым журналам: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LLM-сессии</w:t>
      </w:r>
      <w:r>
        <w:t xml:space="preserve"> (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pii_audit</w:t>
      </w:r>
      <w:r>
        <w:t xml:space="preserve">) — вопрос пользователя, вызовы инструментов, факт и объём маскирования персональных данных. Просмотр — раздел «Журнал LLM-сессий».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Привилегированные действия</w:t>
      </w:r>
      <w:r>
        <w:t xml:space="preserve"> (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admin_audit_log</w:t>
      </w:r>
      <w:r>
        <w:t xml:space="preserve">) — операции администраторов и куратора данных: создание/деактивация учётных записей, изменение политик, согласования. Поля: оператор, действие, объект, время, значения до/после.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SQL-запросы</w:t>
      </w:r>
      <w:r>
        <w:t xml:space="preserve"> (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sql_audit</w:t>
      </w:r>
      <w:r>
        <w:t xml:space="preserve">) — сгенерированные SQL-запросы к источникам: пользователь, таблицы и колонки, длительность, результат.</w:t>
      </w:r>
    </w:p>
    <w:p>
      <w:pPr>
        <w:spacing w:after="130"/>
      </w:pPr>
      <w:r>
        <w:t xml:space="preserve">Общие поля записи: временная метка (UTC), пользователь и роль, тип и объект события, результат (успех / отказ / маскировано), контекст.</w:t>
      </w:r>
    </w:p>
    <w:p>
      <w:pPr>
        <w:pStyle w:val="Heading2"/>
        <w:spacing w:after="110" w:before="220"/>
      </w:pPr>
      <w:r>
        <w:t xml:space="preserve">Фильтрация и типовые сценарии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Задача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Фильтр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Проверить все неудачные попытки входа за неделю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Тип: аутентификация, Результат: отказ, Период: 7 дней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Найти все обращения к коллекции с персональными данными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Тип: доступ к данным, Коллекция: [имя]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Проверить, кто изменял настройки безопасности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Тип: изменение конфигурации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Расследовать активность конкретного пользователя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Пользователь: [логин], все типы событий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Найти все случаи маскирования за день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Тип: маскирование ПДн, Период: сегодня</w:t>
            </w:r>
          </w:p>
        </w:tc>
      </w:tr>
    </w:tbl>
    <w:p>
      <w:pPr>
        <w:spacing w:after="100"/>
      </w:pPr>
    </w:p>
    <w:p>
      <w:pPr>
        <w:pStyle w:val="Heading2"/>
        <w:spacing w:after="110" w:before="220"/>
      </w:pPr>
      <w:r>
        <w:t xml:space="preserve">Экспорт</w:t>
      </w:r>
    </w:p>
    <w:p>
      <w:pPr>
        <w:spacing w:after="130"/>
      </w:pPr>
      <w:r>
        <w:t xml:space="preserve">Форматы — CSV, JSON; экспортируются все записи по текущим фильтрам. Для передачи регулятору или во внешнюю SIEM-систему рекомендуется JSON. Для больших периодов удобно разбивать экспорт по датам; для потоковой передачи в SIEM — регулярный экспорт по расписанию.</w:t>
      </w:r>
    </w:p>
    <w:p>
      <w:pPr>
        <w:spacing w:after="130"/>
      </w:pPr>
      <w:r>
        <w:t xml:space="preserve">Экспортированный журнал содержит чувствительную информацию о поведении пользователей — храните файлы в защищённом месте с ограниченным доступом.</w:t>
      </w:r>
    </w:p>
    <w:p>
      <w:pPr>
        <w:pStyle w:val="Heading2"/>
        <w:spacing w:after="110" w:before="220"/>
      </w:pPr>
      <w:r>
        <w:t xml:space="preserve">Мониторинг и внешние интеграции</w:t>
      </w:r>
    </w:p>
    <w:p>
      <w:pPr>
        <w:spacing w:after="130"/>
      </w:pPr>
      <w:r>
        <w:t xml:space="preserve">Метрики безопасности (счётчики маскирования, ошибки, нагрузка сервисов) экспонируются в Prometheus и визуализируются в Grafana; пороговые оповещения (email/мессенджер) настраиваются средствами Alertmanager/Grafana. Встроенного в интерфейс движка правил с автоматической блокировкой платформа не предоставляет — реагирование на события выполняется человеком, средствами мониторинга и внешней SIEM.</w:t>
      </w:r>
    </w:p>
    <w:p>
      <w:pPr>
        <w:spacing w:after="130"/>
      </w:pPr>
      <w:r>
        <w:t xml:space="preserve">Формат экспорта в SIEM — CEF или JSON (ECS) через syslog/HTTP, с очередью повторных попыток при недоступности приёмника.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8. Реагирование на инциденты</w:t>
      </w:r>
    </w:p>
    <w:p>
      <w:pPr>
        <w:pStyle w:val="Heading2"/>
        <w:spacing w:after="110" w:before="220"/>
      </w:pPr>
      <w:r>
        <w:t xml:space="preserve">Подозрение на компрометацию учётной записи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Немедленно заблокировать учётную запись через карточку пользователя.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Проверить историю активности за последние 7 дней — необычное время входа, нетипичные коллекции, массовые запросы данных, попытки изменения настроек.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Экспортировать журнал аудита за период, зафиксировать IP-адреса, время и характер запросов, передать материалы в службу ИБ организации.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После расследования — разблокировать со сбросом пароля, если инцидент не подтверждён; оставить заблокированной и завести новую учётную запись, если компрометация подтверждена.</w:t>
      </w:r>
    </w:p>
    <w:p>
      <w:pPr>
        <w:pStyle w:val="Heading2"/>
        <w:spacing w:after="110" w:before="220"/>
      </w:pPr>
      <w:r>
        <w:t xml:space="preserve">Обнаружение утечки данных через поиск</w:t>
      </w:r>
    </w:p>
    <w:p>
      <w:pPr>
        <w:spacing w:after="130"/>
      </w:pPr>
      <w:r>
        <w:t xml:space="preserve">Признаки: необычно большое число обращений к одной коллекции, систематические запросы вида «перечисли все записи», запросы на данные вне рабочих задач пользователя.</w:t>
      </w:r>
    </w:p>
    <w:p>
      <w:pPr>
        <w:pStyle w:val="ListParagraph"/>
        <w:numPr>
          <w:ilvl w:val="0"/>
          <w:numId w:val="6"/>
        </w:numPr>
        <w:spacing w:after="90"/>
      </w:pPr>
      <w:r>
        <w:t xml:space="preserve">Проверить журнал аудита по подозреваемому пользователю (тип: доступ к данным, результат: успех).</w:t>
      </w:r>
    </w:p>
    <w:p>
      <w:pPr>
        <w:pStyle w:val="ListParagraph"/>
        <w:numPr>
          <w:ilvl w:val="0"/>
          <w:numId w:val="6"/>
        </w:numPr>
        <w:spacing w:after="90"/>
      </w:pPr>
      <w:r>
        <w:t xml:space="preserve">Временно отозвать доступ к коллекции.</w:t>
      </w:r>
    </w:p>
    <w:p>
      <w:pPr>
        <w:pStyle w:val="ListParagraph"/>
        <w:numPr>
          <w:ilvl w:val="0"/>
          <w:numId w:val="6"/>
        </w:numPr>
        <w:spacing w:after="90"/>
      </w:pPr>
      <w:r>
        <w:t xml:space="preserve">Проверить журнал маскирования PII Shield — были ли в ответах обнаружены персональные данные и применено ли маскирование.</w:t>
      </w:r>
    </w:p>
    <w:p>
      <w:pPr>
        <w:pStyle w:val="ListParagraph"/>
        <w:numPr>
          <w:ilvl w:val="0"/>
          <w:numId w:val="6"/>
        </w:numPr>
        <w:spacing w:after="90"/>
      </w:pPr>
      <w:r>
        <w:t xml:space="preserve">Эскалировать: передать экспортированные журналы в службу ИБ. При подтверждённой утечке персональных данных — уведомить ответственного за ПДн в организации согласно внутреннему регламенту и требованиям ФЗ-152: </w:t>
      </w:r>
      <w:r>
        <w:rPr>
          <w:b/>
          <w:bCs/>
        </w:rPr>
        <w:t xml:space="preserve">уведомление Роскомнадзора в течение 24 часов</w:t>
      </w:r>
      <w:r>
        <w:t xml:space="preserve"> с момента обнаружения. Это требование закона, не рекомендация.</w:t>
      </w:r>
    </w:p>
    <w:p>
      <w:pPr>
        <w:pStyle w:val="Heading2"/>
        <w:spacing w:after="110" w:before="220"/>
      </w:pPr>
      <w:r>
        <w:t xml:space="preserve">Обнаружение попытки внедрения инструкций (prompt injection)</w:t>
      </w:r>
    </w:p>
    <w:p>
      <w:pPr>
        <w:spacing w:after="130"/>
      </w:pPr>
      <w:r>
        <w:t xml:space="preserve">Признаки в журнале: запросы, содержащие инструкции агенту («забудь предыдущие инструкции», «действуй как», «игнорируй ограничения»); нетипичные ответы агента; запросы, пытающиеся выяснить системный промпт.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Найти подозрительные запросы в журнале аудита (поиск по ключевым словам вида «inject», «ignore», «system prompt»).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Заблокировать пользователя при подтверждении.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Передать команде поддержки платформы текст запросов, ответы агента и временные метки — для анализа обхода защит и, при необходимости, усиления платформенных рамок промпта.</w:t>
      </w:r>
    </w:p>
    <w:p>
      <w:pPr>
        <w:pStyle w:val="Heading2"/>
        <w:spacing w:after="110" w:before="220"/>
      </w:pPr>
      <w:r>
        <w:t xml:space="preserve">Классификация по серьёзности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Уровень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произошло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делать сразу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Критический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Несанкционированный доступ к данным, утечка персональных данных, взлом учётной записи администратора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Немедленно изолировать платформу, сообщить руководителю ИБ, запустить план реагирования, уведомление Роскомнадзора за 24 часа при подтверждённой утечке ПДн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Высокий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Подозрительное поведение ассистента, аномальные запросы, сбои входа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Разобрать журнал, заблокировать подозрительную учётную запись, эскалировать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Средний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Ошибки доступа, предупреждения мониторинга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Разобрать метрики и журнал, сообщить администратору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Низкий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Технические сбои без признаков атаки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Обычная процедура устранения неполадок</w:t>
            </w:r>
          </w:p>
        </w:tc>
      </w:tr>
    </w:tbl>
    <w:p>
      <w:pPr>
        <w:spacing w:after="100"/>
      </w:pP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9. Регулярные задачи администратора ИБ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Периодичность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Задача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Ежедневно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Проверить алерты безопасности; просмотреть ошибки маскирования PII Shield; проверить неудачные попытки аутентификации за последние 24 часа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Еженедельно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Проверить неактивные учётные записи (нет входа более 30 дней), рассмотреть блокировку; проверить, все ли учётные записи с ролью администратора актуальны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Ежемесячно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Аудит назначений коллекций — соответствуют ли права текущим должностям; проверить полноту тегов персональных данных в чувствительных коллекциях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Ежеквартально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Экспортировать журнал аудита за квартал, передать в архив ИБ; проверить статус политик доступа — нет ли неактивных или устаревших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При увольнении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Заблокировать учётную запись в день увольнения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При смене должности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Скорректировать роль и набор доступных коллекций</w:t>
            </w:r>
          </w:p>
        </w:tc>
      </w:tr>
    </w:tbl>
    <w:p>
      <w:pPr>
        <w:spacing w:after="100"/>
      </w:pP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10. Интеграции и аутентификация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Корпоративный вход</w:t>
      </w:r>
      <w:r>
        <w:t xml:space="preserve"> — LDAP/AD, SAML 2.0, OIDC/OAuth2 (включая Azure AD, Okta, Auth0, Google, Cognito) — реализовано. Kerberos/SPNEGO — явно не поддерживается.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Единый корпоративный вход и локальные пароли каталога — переключатель «либо/либо», не два параллельных способа одновременно; при включении единого входа локальные пароли перестают работать для всех, кроме заранее выделенных аварийных (break-glass) учётных записей. Это отдельный механизм от break-glass-пароля «Сотрудников ИБ», который продолжает работать в обход единого входа независимо.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Авторизация для двух корпоративных доменов одновременно не поддерживается — конфигурация рассчитана на один домен.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SIEM</w:t>
      </w:r>
      <w:r>
        <w:t xml:space="preserve"> — CEF или JSON (ECS) через syslog/HTTP, с очередью повторных попыток.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Прокси с аутентификацией — на дорожной карте поставщика; централизованное управление секретами (Vault) — также на дорожной карте, сроки уточняются у поставщика на момент внедрения.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11. Соответствие требованиям ФСТЭК (приказы №17/21)</w:t>
      </w:r>
    </w:p>
    <w:p>
      <w:pPr>
        <w:spacing w:after="130"/>
      </w:pPr>
      <w:r>
        <w:t xml:space="preserve">Оценка выполнена для базового набора мер КС2/УЗ-3. ✓ — реализовано полностью средствами платформы; ~ — реализовано частично, для полного выполнения нужны дополнительные меры на стороне клиента; — — не применимо (не относится к платформе или реализуется только клиентом).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Мера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Реализация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ИАФ.1 Идентификация и аутентификация пользователей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OAuth 2.0, JWT-токены с ограниченным сроком действия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ИАФ.2 Идентификация и аутентификация устройств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~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Только по IP/сети; аппаратная аутентификация устройств не реализована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ИАФ.3 Управление идентификаторами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Централизованное управление через каталог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ИАФ.4 Управление средствами аутентификации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Управление токенами и сессиями, принудительный отзыв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ИАФ.5 Защита ввода аутентификационной информации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Пароли не передаются в открытом виде; TLS на всех соединениях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ИАФ.6 Аутентификация при удалённом доступе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HTTPS/TLS 1.2+, OAuth 2.0 для всех подключений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УПД.1 Управление учётными записями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Ролевая модель доступа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УПД.2 Модель управления доступом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Роли + построчная фильтрация (OPA/Rego) для межсервисной авторизации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УПД.3 Разграничение доступа к информации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Коллекция = граница доступа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УПД.4 Разделение полномочий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Роли с непересекающимися правами; суверенный реестр сотрудников ИБ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УПД.5 Принцип наименьших привилегий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Служебные учётные записи БД только на чтение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УПД.6 Ограничение неуспешных попыток входа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~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Реализовано, порог настраивается на стороне клиента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УПД.13 Защищённый удалённый доступ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Только HTTPS/443 снаружи, внутренние порты закрыты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ЗИС.1 Разделение функций в системе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Зональная архитектура, изоляция по зонам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ЗИС.2 Предотвращение прерывания процессов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~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Без отказоустойчивости на Docker Compose; поддерживается на Kubernetes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ЗИС.3 Подлинность сетевых соединений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TLS 1.2+ на внешних соединениях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ЗИС.8 Контроль передаваемой информации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Маскирование в ответах + журналирование передачи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ЗИС.19 Защита от отказа в обслуживании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Вне периметра платформы, ответственность сетевой инфраструктуры клиента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АУД.1 Инвентаризация информационных ресурсов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Каталог источников, схем, таблиц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АУД.2 Анализ уязвимостей и их устранение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~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Образы проверяются при сборке; регулярное сканирование — на клиенте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АУД.3 Выявление инцидентов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Мониторинг с алертингом + журналирование всех операций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АУД.4 Реагирование на инциденты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~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Процедуру определяет клиент; платформа даёт журналы и метрики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АУД.5 Защита информации о событиях безопасности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Журналы с разграничением доступа; изменение журнала заблокировано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АУД.6 Мониторинг безопасности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Метрики всех компонентов, алертинг на аномалии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АУД.9 Аудит действий с персональными данными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Полная трассировка + интеграция с внешней SIEM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АУД.10 Устранение последствий инцидентов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Резервное копирование + процедура восстановления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ЗНИ.1 Учёт машинных носителей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 стороне клиента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ЗНИ.3 Защита носителей от несанкционированного доступа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~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Шифрование томов опционально, зависит от хоста клиента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ЗНИ.5 Контроль съёмных носителей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Вне периметра платформы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ЗНИ.8 Уничтожение информации на носителях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 стороне клиента при выводе оборудования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УКФ.1 Идентификация объектов конфигурации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Версионирование образов и конфигурации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УКФ.2 Управление изменениями конфигурации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Через конфигурационные файлы, откат по тегам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УКФ.3 Установка программного обеспечения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Только образы из доверенного реестра, поддерживается развёртывание без доступа в интернет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УКФ.4 Контроль генерации и смены паролей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~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Политика паролей настраивается: минимальная длина/сложность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ЗТС.2 Управление уязвимостями в ПО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~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Обновление образов — процедурой платформы; сканирование на известные уязвимости — на клиенте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ЗТС.3 Целостность программного обеспечения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Проверка хэшей образов, поддержка подписи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ЗСВ.1 Аутентификация доступа к виртуальной инфраструктуре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Ролевая модель кластера, изоляция по неймспейсам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ЗСВ.5 Управление потоками между компонентами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Изоляция сети; сетевые политики опционально</w:t>
            </w:r>
          </w:p>
        </w:tc>
      </w:tr>
    </w:tbl>
    <w:p>
      <w:pPr>
        <w:spacing w:after="100"/>
      </w:pP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12. Модель угроз</w:t>
      </w:r>
    </w:p>
    <w:p>
      <w:pPr>
        <w:spacing w:after="130"/>
      </w:pPr>
      <w:r>
        <w:rPr>
          <w:b/>
          <w:bCs/>
        </w:rPr>
        <w:t xml:space="preserve">Типы нарушителей:</w:t>
      </w:r>
      <w:r>
        <w:t xml:space="preserve"> внешний нарушитель высокого потенциала (целенаправленная атака, доступ только к публичным интерфейсам платформы); внутренний нарушитель — обычный пользователь (низкий/средний потенциал, попытки расширить доступ в рамках своей роли); внутренний нарушитель — администратор платформы (высокий потенциал, полный доступ к конфигурации и журналам); привилегированный пользователь/подрядчик (средний/высокий потенциал, доступ к инфраструктуре и секретам).</w:t>
      </w:r>
    </w:p>
    <w:p>
      <w:pPr>
        <w:spacing w:after="130"/>
      </w:pPr>
      <w:r>
        <w:rPr>
          <w:b/>
          <w:bCs/>
        </w:rPr>
        <w:t xml:space="preserve">Актуальные угрозы: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Угроза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Вектор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Контрмеры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Несанкционированный доступ к данным через API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Перехват/подбор токена, обход авторизации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Строгая аутентификация, короткий срок жизни токенов, аудит всех вызовов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Компрометация контекста ассистента (внедрение инструкций)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Инструкции в запросе, обход ограничений агента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Неизменяемая рамка системного промпта, правила на вывод, аудит запросов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Атака на цепочку поставок (образы, зависимости)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Компрометация базовых образов при сборке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Только образы из реестра поставщика, изолированное развёртывание, проверка хэшей и подписи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Утечка данных через поиск по документам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Запросы, извлекающие чужие данные из индекса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Доступ по коллекциям, пользователь видит только назначенное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Эскалация привилегий внутри кластера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Избыточные права служебных учётных записей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Минимальные права, изоляция рабочих нагрузок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Признаны неактуальными</w:t>
      </w:r>
      <w:r>
        <w:t xml:space="preserve"> (архитектурно исключены или вне периметра платформы): несанкционированный доступ к резервным копиям (хранятся на инфраструктуре клиента); атака на инфраструктуру/DoS (закрытый периметр без прямого выхода в интернет); внешний нарушитель низкого потенциала (нет публичных интерфейсов).</w:t>
      </w:r>
    </w:p>
    <w:p>
      <w:pPr>
        <w:spacing w:after="130"/>
      </w:pPr>
      <w:r>
        <w:rPr>
          <w:b/>
          <w:bCs/>
        </w:rPr>
        <w:t xml:space="preserve">Угрозы, специфичные для платформ с LLM:</w:t>
      </w:r>
      <w:r>
        <w:t xml:space="preserve"> внедрение инструкций прямое (в самом запросе) и косвенное (через содержимое проиндексированных документов, срабатывает при поиске); попытка извлечь системный промпт через многошаговый диалог; последовательное «вытягивание» данных через много запросов к поиску; попытка восстановить исходный текст из векторных представлений (архитектурно затруднена — прямого доступа к векторам без аутентификации нет).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13. Остаточные риски — ответственность клиента</w:t>
      </w:r>
    </w:p>
    <w:p>
      <w:pPr>
        <w:spacing w:after="130"/>
      </w:pPr>
      <w:r>
        <w:t xml:space="preserve">Не является недостатком платформы, но требует явного закрепления в договорных документах.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Область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Рекомендация клиенту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Шифрование данных на физических носителях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Шифрование томов, политика безопасного уничтожения носителей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Физическая безопасность серверов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Контроль доступа, видеонаблюдение серверных помещений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Защита от DoS/DDoS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Средства сетевой инфраструктуры клиента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Антивирусная защита хостов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EDR/антивирус на хостах, сканирование образов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Управление уязвимостями (совместно)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Клиент сканирует хосты, поставщик обновляет образы платформы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Шифрование резервных копий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Шифрование архивов перед размещением на резервных носителях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Обучение персонала ИБ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Инструктаж сотрудников по работе с персональными данными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Аттестация информационной системы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При необходимости — в аккредитованной организации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Контроль обхода периметра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Прямые обращения к внешним LLM в обход платформы — сетевая задача клиента (файрвол/веб-фильтр по списку адресов от поставщика), не функция самой платформы</w:t>
            </w:r>
          </w:p>
        </w:tc>
      </w:tr>
    </w:tbl>
    <w:p>
      <w:pPr>
        <w:spacing w:after="100"/>
      </w:pP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Глоссарий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Оператор ИБ / Администратор ИБ</w:t>
      </w:r>
      <w:r>
        <w:t xml:space="preserve"> — роли в суверенном реестре «Сотрудники ИБ»; не наследуются из корпоративного каталога.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PII Shield</w:t>
      </w:r>
      <w:r>
        <w:t xml:space="preserve"> — компонент автоматического обнаружения и маскирования персональных данных.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База секретов</w:t>
      </w:r>
      <w:r>
        <w:t xml:space="preserve"> — отдельный механизм защиты коммерческой тайны, с ручным решением PASS/REVIEW/BLOCK.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Построчная фильтрация (row-level security, OPA/Rego)</w:t>
      </w:r>
      <w:r>
        <w:t xml:space="preserve"> — автоматическое ограничение видимых строк таблиц по доменам каталога.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Таблица соответствий</w:t>
      </w:r>
      <w:r>
        <w:t xml:space="preserve"> — временное, привязанное к сессии хранилище пар «метка ↔ исходное значение»; не покидает контур.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pii_audit / admin_audit_log / sql_audit</w:t>
      </w:r>
      <w:r>
        <w:t xml:space="preserve"> — три независимых журнала аудита: LLM-сессии, привилегированные действия, SQL-запросы.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ФСТЭК</w:t>
      </w:r>
      <w:r>
        <w:t xml:space="preserve"> — регулятор, чьи приказы №17/21 задают технические требования к защите информационных систем.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ФЗ-152</w:t>
      </w:r>
      <w:r>
        <w:t xml:space="preserve"> — федеральный закон «О персональных данных»; при подтверждённой утечке требует уведомления Роскомнадзора в течение 24 часов.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КС2/УЗ-3</w:t>
      </w:r>
      <w:r>
        <w:t xml:space="preserve"> — класс защищённости и уровень защищённости персональных данных, для которого выполнена оценка соответствия в этом документе.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См. также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«Руководство администратора» — общий документ для администратора платформы, не обязательно ИБ-специалиста: роли, коллекции, провайдеры, практические кейсы.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2026-08-20T12:41:51.586Z</dcterms:created>
  <dcterms:modified xsi:type="dcterms:W3CDTF">2026-08-20T12:41:51.586Z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