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Скоуп проекта Д8 (Кейс 2 методики) — рабочий разбор и вопросы к заказчику</w:t>
      </w:r>
    </w:p>
    <w:p>
      <w:r>
        <w:rPr>
          <w:b/>
        </w:rPr>
        <w:t>Контекст:</w:t>
      </w:r>
      <w:r>
        <w:t xml:space="preserve"> применение методики внедрения (</w:t>
      </w:r>
      <w:r>
        <w:rPr>
          <w:rFonts w:ascii="Consolas" w:hAnsi="Consolas"/>
          <w:sz w:val="20"/>
        </w:rPr>
        <w:t>docs/metodika-vnedreniya.md</w:t>
      </w:r>
      <w:r>
        <w:t>, Кейс 2 — Проект) к конкретному кандидату — АО «Инвестиционная компания Д8», единственному клиенту в базе, реально прошедшему пилот достаточно далеко, чтобы обсуждать масштабирование. Ниже — то, что уже известно из пилотного ТЗ и разбора мастер-ТЗ, что подтвердил заказчик в этой сессии, и открытые вопросы, которые нужно закрыть до фазы П2 («Целевая архитектура и волны роллаута»).</w:t>
      </w:r>
    </w:p>
    <w:p>
      <w:r>
        <w:t>---</w:t>
      </w:r>
    </w:p>
    <w:p>
      <w:pPr>
        <w:pStyle w:val="Heading2"/>
      </w:pPr>
      <w:r>
        <w:t>1. Что уже известно (из пилотного ТЗ и мастер-ТЗ)</w:t>
      </w:r>
    </w:p>
    <w:p>
      <w:pPr>
        <w:pStyle w:val="Heading3"/>
      </w:pPr>
      <w:r>
        <w:t>Скоуп пилота (для сравнения)</w:t>
      </w:r>
    </w:p>
    <w:p>
      <w:r>
        <w:t xml:space="preserve">4 источника данных (КХД, CRM Bitrix24 через ESB, MCP-сервер, «RAG-компании» — статус не уточнён), 2 согласованные роли из «до 5 в перспективе», 2 коллекции документов, до 20 пилотных пользователей. Источник: </w:t>
      </w:r>
      <w:r>
        <w:rPr>
          <w:rFonts w:ascii="Consolas" w:hAnsi="Consolas"/>
          <w:sz w:val="20"/>
        </w:rPr>
        <w:t>case-03-pilot-tz-ai-guard.md</w:t>
      </w:r>
      <w:r>
        <w:t xml:space="preserve">, </w:t>
      </w:r>
      <w:r>
        <w:rPr>
          <w:rFonts w:ascii="Consolas" w:hAnsi="Consolas"/>
          <w:sz w:val="20"/>
        </w:rPr>
        <w:t>docs/onboarding.md</w:t>
      </w:r>
      <w:r>
        <w:t>.</w:t>
      </w:r>
    </w:p>
    <w:p>
      <w:pPr>
        <w:pStyle w:val="Heading3"/>
      </w:pPr>
      <w:r>
        <w:t>Полный ландшафт по мастер-ТЗ (</w:t>
      </w:r>
      <w:r>
        <w:rPr>
          <w:rFonts w:ascii="Consolas" w:hAnsi="Consolas"/>
          <w:sz w:val="20"/>
        </w:rPr>
        <w:t>docs/sources/tz-rag-investment.pdf</w:t>
      </w:r>
      <w:r>
        <w:t>, §1.2–1.3) — шире пилота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Критичность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Подключение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 пилоте?</w:t>
            </w:r>
          </w:p>
        </w:tc>
      </w:tr>
      <w:tr>
        <w:tc>
          <w:tcPr>
            <w:tcW w:type="dxa" w:w="2160"/>
          </w:tcPr>
          <w:p>
            <w:r>
              <w:t>CRM Bitrix24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REST API/Webhook</w:t>
            </w:r>
          </w:p>
        </w:tc>
        <w:tc>
          <w:tcPr>
            <w:tcW w:type="dxa" w:w="2160"/>
          </w:tcPr>
          <w:p>
            <w:r>
              <w:t>Да (через ESB)</w:t>
            </w:r>
          </w:p>
        </w:tc>
      </w:tr>
      <w:tr>
        <w:tc>
          <w:tcPr>
            <w:tcW w:type="dxa" w:w="2160"/>
          </w:tcPr>
          <w:p>
            <w:r>
              <w:t>Excel/CSV (портфели, AUM/AUC, P&amp;L, сделки, отчёты)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Word/PDF (декларации, договоры ДУ, меморандумы, регламенты)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Email (входящие/исходящие)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  <w:tc>
          <w:tcPr>
            <w:tcW w:type="dxa" w:w="2160"/>
          </w:tcPr>
          <w:p>
            <w:r>
              <w:t>IMAP/MS Graph API</w:t>
            </w:r>
          </w:p>
        </w:tc>
        <w:tc>
          <w:tcPr>
            <w:tcW w:type="dxa" w:w="2160"/>
          </w:tcPr>
          <w:p>
            <w:r>
              <w:t>Нет — Must Have в ТЗ, но 0 тест-кейсов TC-EMAIL</w:t>
            </w:r>
          </w:p>
        </w:tc>
      </w:tr>
      <w:tr>
        <w:tc>
          <w:tcPr>
            <w:tcW w:type="dxa" w:w="2160"/>
          </w:tcPr>
          <w:p>
            <w:r>
              <w:t>Внутренние регламенты (compliance)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  <w:tc>
          <w:tcPr>
            <w:tcW w:type="dxa" w:w="2160"/>
          </w:tcPr>
          <w:p>
            <w:r>
              <w:t>Word/PDF папка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Back office (сделки, документы)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Confluence (база знаний)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Confluence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</w:tbl>
    <w:p>
      <w:r>
        <w:t>Роли по мастер-ТЗ (§1.3): Менеджер фронт-офиса (10–20 чел), Аналитик/Портфельный управляющий (5–10 чел), Руководство (3–7 чел), Бэк-офис (5–10 чел) — суммарно ориентировочно 23–47 человек против пилотных «до 20 пользователей» и 2 активных ролей.</w:t>
      </w:r>
    </w:p>
    <w:p>
      <w:r>
        <w:rPr>
          <w:b/>
        </w:rPr>
        <w:t>Явно отложено в мастер-ТЗ (п. 3.2, дословно):</w:t>
      </w:r>
      <w:r>
        <w:t xml:space="preserve"> «Разграничение прав: compliance видит свои документы, менеджер — своих клиентов (опционально в v2)» — то есть построчная сегрегация доступа внутри роли сейчас не гарантирована даже логически, не только по факту пилота.</w:t>
      </w:r>
    </w:p>
    <w:p>
      <w:r>
        <w:rPr>
          <w:b/>
        </w:rPr>
        <w:t>Важно:</w:t>
      </w:r>
      <w:r>
        <w:t xml:space="preserve"> ни в одном документе базы нет фактической оргструктуры/штата Д8 — таблица ролей выше взята из мастер-ТЗ и не сверялась с реальными подразделениями (см. </w:t>
      </w:r>
      <w:r>
        <w:rPr>
          <w:rFonts w:ascii="Consolas" w:hAnsi="Consolas"/>
          <w:sz w:val="20"/>
        </w:rPr>
        <w:t>case-20-katalog-tree-critic-verdict.md</w:t>
      </w:r>
      <w:r>
        <w:t>). Это не факт, а лучшее доступное приближение.</w:t>
      </w:r>
    </w:p>
    <w:p>
      <w:r>
        <w:t>---</w:t>
      </w:r>
    </w:p>
    <w:p>
      <w:pPr>
        <w:pStyle w:val="Heading2"/>
      </w:pPr>
      <w:r>
        <w:t>2. Подтверждено заказчиком в этой сессии (13–14.09.2026)</w:t>
      </w:r>
    </w:p>
    <w:p>
      <w:r>
        <w:t xml:space="preserve">Заказчик хочет </w:t>
      </w:r>
      <w:r>
        <w:rPr>
          <w:b/>
        </w:rPr>
        <w:t>оставить два канала интеграции</w:t>
      </w:r>
      <w:r>
        <w:t xml:space="preserve"> — шину (ESB) и хранилище (КХД/DWH), не добавлять новые типы источников (Excel/CSV напрямую, Email, Confluence и т.д. — во всяком случае не как отдельные новые коннекторы). Вместо расширения числа источников — </w:t>
      </w:r>
      <w:r>
        <w:rPr>
          <w:b/>
        </w:rPr>
        <w:t>расширить внутри шины</w:t>
      </w:r>
      <w:r>
        <w:t>: больше витрин данных и больше API, доступных через ESB.</w:t>
      </w:r>
    </w:p>
    <w:p>
      <w:r>
        <w:t>Это меняет форму фазы П2 методики: не «подключить 7 источников», а «углубить 1 источник (ESB) — от текущего CRM-среза до более широкого набора витрин/API» + сохранить КХД как есть. Существенно сужает и, вероятно, удешевляет техническую часть готовности интеграции по сравнению с мастер-ТЗ.</w:t>
      </w:r>
    </w:p>
    <w:p>
      <w:r>
        <w:t>---</w:t>
      </w:r>
    </w:p>
    <w:p>
      <w:pPr>
        <w:pStyle w:val="Heading2"/>
      </w:pPr>
      <w:r>
        <w:t>3. Реестр открытых платформенных пунктов (скриншот трекера, эта сессия)</w:t>
      </w:r>
    </w:p>
    <w:p>
      <w:r>
        <w:t>Транскрипция таблицы, присланной пользователем — статус/приоритет платформенных возможностей, релевантных для оценки готовности к проекту Д8: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Приоритет</w:t>
            </w:r>
          </w:p>
        </w:tc>
      </w:tr>
      <w:tr>
        <w:tc>
          <w:tcPr>
            <w:tcW w:type="dxa" w:w="2880"/>
          </w:tcPr>
          <w:p>
            <w:r>
              <w:t>В плане</w:t>
            </w:r>
          </w:p>
        </w:tc>
        <w:tc>
          <w:tcPr>
            <w:tcW w:type="dxa" w:w="2880"/>
          </w:tcPr>
          <w:p>
            <w:r>
              <w:t>Мультидоменная авторизация</w:t>
            </w:r>
          </w:p>
        </w:tc>
        <w:tc>
          <w:tcPr>
            <w:tcW w:type="dxa" w:w="2880"/>
          </w:tcPr>
          <w:p>
            <w:r>
              <w:t>Критичный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Работа с MS Office 365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  <w:tr>
        <w:tc>
          <w:tcPr>
            <w:tcW w:type="dxa" w:w="2880"/>
          </w:tcPr>
          <w:p>
            <w:r>
              <w:t>Выяснить про search API</w:t>
            </w:r>
          </w:p>
        </w:tc>
        <w:tc>
          <w:tcPr>
            <w:tcW w:type="dxa" w:w="2880"/>
          </w:tcPr>
          <w:p>
            <w:r>
              <w:t>Поддержка актуальной версии API Claude (web search и т.п.)</w:t>
            </w:r>
          </w:p>
        </w:tc>
        <w:tc>
          <w:tcPr>
            <w:tcW w:type="dxa" w:w="2880"/>
          </w:tcPr>
          <w:p>
            <w:r>
              <w:t>Критичный</w:t>
            </w:r>
          </w:p>
        </w:tc>
      </w:tr>
      <w:tr>
        <w:tc>
          <w:tcPr>
            <w:tcW w:type="dxa" w:w="2880"/>
          </w:tcPr>
          <w:p>
            <w:r>
              <w:t>Кастомизация выбора источников</w:t>
            </w:r>
          </w:p>
        </w:tc>
        <w:tc>
          <w:tcPr>
            <w:tcW w:type="dxa" w:w="2880"/>
          </w:tcPr>
          <w:p>
            <w:r>
              <w:t>Возможность подключения/отключения источников данных внутри компании при работе в режиме чата и через API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Отмечать замены в анонимизируемых данных для пользовательских правил не как CUSTOM_N, а с разными наименованиями для разных правил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Обновление данных в RAG-ах через API. Базы знаний ведутся в других источниках, нужны автоматические процедуры по поддержанию в актуальном состоянии баз знаний в ИИ платформе</w:t>
            </w:r>
          </w:p>
        </w:tc>
        <w:tc>
          <w:tcPr>
            <w:tcW w:type="dxa" w:w="2880"/>
          </w:tcPr>
          <w:p>
            <w:r>
              <w:t>Высокий</w:t>
            </w:r>
          </w:p>
        </w:tc>
      </w:tr>
      <w:tr>
        <w:tc>
          <w:tcPr>
            <w:tcW w:type="dxa" w:w="2880"/>
          </w:tcPr>
          <w:p>
            <w:r>
              <w:t>Требует проработки</w:t>
            </w:r>
          </w:p>
        </w:tc>
        <w:tc>
          <w:tcPr>
            <w:tcW w:type="dxa" w:w="2880"/>
          </w:tcPr>
          <w:p>
            <w:r>
              <w:t>Обновление информации о правах доступа сотрудников к данным внутри таблиц. Сейчас — только по фиксированному списку из политик доступа. Нужно, чтобы данные получались через таблицы/API — права динамические и могут регулярно меняться</w:t>
            </w:r>
          </w:p>
        </w:tc>
        <w:tc>
          <w:tcPr>
            <w:tcW w:type="dxa" w:w="2880"/>
          </w:tcPr>
          <w:p>
            <w:r>
              <w:t>Высокий</w:t>
            </w:r>
          </w:p>
        </w:tc>
      </w:tr>
      <w:tr>
        <w:tc>
          <w:tcPr>
            <w:tcW w:type="dxa" w:w="2880"/>
          </w:tcPr>
          <w:p>
            <w:r>
              <w:t>Требует проработки (визуал)</w:t>
            </w:r>
          </w:p>
        </w:tc>
        <w:tc>
          <w:tcPr>
            <w:tcW w:type="dxa" w:w="2880"/>
          </w:tcPr>
          <w:p>
            <w:r>
              <w:t>Работа с графиками — проблемы в отображении данных, есть планы по красоте отображения, пока не хочется оставлять как целевой вариант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  <w:tr>
        <w:tc>
          <w:tcPr>
            <w:tcW w:type="dxa" w:w="2880"/>
          </w:tcPr>
          <w:p>
            <w:r>
              <w:t>Требует проработки</w:t>
            </w:r>
          </w:p>
        </w:tc>
        <w:tc>
          <w:tcPr>
            <w:tcW w:type="dxa" w:w="2880"/>
          </w:tcPr>
          <w:p>
            <w:r>
              <w:t>Дать пользователям возможность создавать RAG и делиться ими с сотрудниками — персональные коллекции у пользователя, а не набор файлов как сейчас. Выводить документы в фильтры для пользователя при выборе источника запроса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  <w:tr>
        <w:tc>
          <w:tcPr>
            <w:tcW w:type="dxa" w:w="2880"/>
          </w:tcPr>
          <w:p>
            <w:r>
              <w:t>В работе</w:t>
            </w:r>
          </w:p>
        </w:tc>
        <w:tc>
          <w:tcPr>
            <w:tcW w:type="dxa" w:w="2880"/>
          </w:tcPr>
          <w:p>
            <w:r>
              <w:t>Пользовательская и админская документация на систему</w:t>
            </w:r>
          </w:p>
        </w:tc>
        <w:tc>
          <w:tcPr>
            <w:tcW w:type="dxa" w:w="2880"/>
          </w:tcPr>
          <w:p>
            <w:r>
              <w:t>Высокий</w:t>
            </w:r>
          </w:p>
        </w:tc>
      </w:tr>
      <w:tr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Упрощение заведения пользователей</w:t>
            </w:r>
          </w:p>
        </w:tc>
        <w:tc>
          <w:tcPr>
            <w:tcW w:type="dxa" w:w="2880"/>
          </w:tcPr>
          <w:p>
            <w:r>
              <w:t>Нормальный</w:t>
            </w:r>
          </w:p>
        </w:tc>
      </w:tr>
    </w:tbl>
    <w:p>
      <w:r>
        <w:rPr>
          <w:b/>
        </w:rPr>
        <w:t>Прямая связь с решением по ESB (§2):</w:t>
      </w:r>
      <w:r>
        <w:t xml:space="preserve"> пункты «Обновление данных в RAG-ах через API» (высокий) и «Обновление информации о правах доступа... через таблицы/API» (высокий) — это ровно то, что нужно для расширения витрин/API в шине; без них расширение ESB даёт больше данных, но не даёт актуальности и динамических прав доступа. Это, вероятно, узкое место проекта Д8, а не только общий пункт бэклога платформы.</w:t>
      </w:r>
    </w:p>
    <w:p>
      <w:r>
        <w:t>---</w:t>
      </w:r>
    </w:p>
    <w:p>
      <w:pPr>
        <w:pStyle w:val="Heading2"/>
      </w:pPr>
      <w:r>
        <w:t>4. Список вопросов к заказчику (Д8)</w:t>
      </w:r>
    </w:p>
    <w:p>
      <w:pPr>
        <w:pStyle w:val="Heading3"/>
      </w:pPr>
      <w:r>
        <w:t>Интеграция (ESB / КХД)</w:t>
      </w:r>
    </w:p>
    <w:p>
      <w:r>
        <w:t>1. Какие конкретно витрины данных нужно добавить в ESB сверх текущего среза CRM (Bitrix24)? Список витрин с владельцами на стороне Д8.</w:t>
      </w:r>
    </w:p>
    <w:p>
      <w:r>
        <w:t>2. 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r>
        <w:t>3. КХД — расширяется ли состав таблиц/витрин внутри самого хранилища, или его периметр остаётся как в пилоте?</w:t>
      </w:r>
    </w:p>
    <w:p>
      <w:r>
        <w:t>4. Что такое «RAG-компании» — отдельная существующая RAG-система Д8 (тогда нужна федерация поиска между двумя RAG) или другое название того же пилотного контура? (Открытый вопрос ещё с пилотного ТЗ, не закрыт.)</w:t>
      </w:r>
    </w:p>
    <w:p>
      <w:pPr>
        <w:pStyle w:val="Heading3"/>
      </w:pPr>
      <w:r>
        <w:t>Права доступа и роли</w:t>
      </w:r>
    </w:p>
    <w:p>
      <w:r>
        <w:t>5. Реальная оргструктура для проекта: список подразделений/ролей с числом пользователей в каждой (не гипотетическая таблица из мастер-ТЗ, а факт) — нужна для фазы П2 (карта волн роллаута).</w:t>
      </w:r>
    </w:p>
    <w:p>
      <w:r>
        <w:t>6. Разграничение прав «compliance видит своё, менеджер — своих клиентов» (п. 3.2 мастер-ТЗ, помечено «опционально в v2») — обязательное требование для проекта или можно оставить на будущее?</w:t>
      </w:r>
    </w:p>
    <w:p>
      <w:r>
        <w:t>7. Права доступа сотрудников сейчас фиксированы по статичному списку политик. Для проекта это должно стать динамическим (через таблицы/API из системы-источника прав)? Если да — какая система является источником истины по правам (HR-система, Bitrix24, отдельный IAM)?</w:t>
      </w:r>
    </w:p>
    <w:p>
      <w:r>
        <w:t>8. Нужна ли мультидоменная авторизация (из реестра платформы, критичный приоритет) — сколько доменов/поддоменов у Д8 предполагается подключить?</w:t>
      </w:r>
    </w:p>
    <w:p>
      <w:pPr>
        <w:pStyle w:val="Heading3"/>
      </w:pPr>
      <w:r>
        <w:t>Источники данных вне ESB/КХД</w:t>
      </w:r>
    </w:p>
    <w:p>
      <w:r>
        <w:t>9. Email, Word/PDF-регламенты, Confluence из мастер-ТЗ (§1.2) — подтверждается ли, что они НЕ входят в проект (раз заказчик остаётся на двух каналах), или это отдельный вопрос на будущее, не решённый окончательно?</w:t>
      </w:r>
    </w:p>
    <w:p>
      <w:r>
        <w:t>10. Email в мастер-ТЗ помечен Must Have, но тест-кейсы (TC-EMAIL) отсутствовали уже в пилоте — снимается ли это требование в проекте или переносится?</w:t>
      </w:r>
    </w:p>
    <w:p>
      <w:pPr>
        <w:pStyle w:val="Heading3"/>
      </w:pPr>
      <w:r>
        <w:t>Платформенные возможности (из реестра §3)</w:t>
      </w:r>
    </w:p>
    <w:p>
      <w:r>
        <w:t>11. Актуализация RAG-баз через API (высокий приоритет в реестре) — это блокер для проекта Д8 или можно стартовать с ручным/пакетным обновлением на первых волнах?</w:t>
      </w:r>
    </w:p>
    <w:p>
      <w:r>
        <w:t>12. Персональные RAG-коллекции пользователей — нужны ли для проекта Д8, или это общий продуктовый пункт не по конкретному запросу заказчика?</w:t>
      </w:r>
    </w:p>
    <w:p>
      <w:r>
        <w:t>13. Работа с MS Office 365 — есть ли у Д8 контур O365 (SharePoint/Outlook/Teams), который нужно подключать, или пункт не относится к этому проекту?</w:t>
      </w:r>
    </w:p>
    <w:p>
      <w:r>
        <w:t>14. Поддержка актуальной версии API внешней модели (web search и т.п.) — есть ли у Д8 конкретный сценарий использования веб-поиска, который сейчас блокирован?</w:t>
      </w:r>
    </w:p>
    <w:p>
      <w:pPr>
        <w:pStyle w:val="Heading3"/>
      </w:pPr>
      <w:r>
        <w:t>Общее по проекту (Кейс 2 методики)</w:t>
      </w:r>
    </w:p>
    <w:p>
      <w:r>
        <w:t>15. 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r>
        <w:t>16. Есть ли у Д8 предпочтение по разбивке на волны (по подразделениям, по типам источников, по группам пользователей) — или карту волн предлагаем мы (фаза П2)?</w:t>
      </w:r>
    </w:p>
    <w:p>
      <w:r>
        <w:t xml:space="preserve">17. Формальный критерий перехода в проект: пилот по </w:t>
      </w:r>
      <w:r>
        <w:rPr>
          <w:rFonts w:ascii="Consolas" w:hAnsi="Consolas"/>
          <w:sz w:val="20"/>
        </w:rPr>
        <w:t>case-21</w:t>
      </w:r>
      <w:r>
        <w:t xml:space="preserve">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p>
      <w:r>
        <w:t>---</w:t>
      </w:r>
    </w:p>
    <w:p>
      <w:pPr>
        <w:pStyle w:val="Heading2"/>
      </w:pPr>
      <w:r>
        <w:t>5. Наши предложения (не только вопросы — рабочая позиция по умолчанию)</w:t>
      </w:r>
    </w:p>
    <w:p>
      <w:r>
        <w:t>По части вопросов есть смысл не просто спрашивать, а предложить заказчику отправную позицию — легче поправить готовое предложение, чем отвечать на открытый вопрос с нуля.</w:t>
      </w:r>
    </w:p>
    <w:p>
      <w:r>
        <w:t xml:space="preserve">1. </w:t>
      </w:r>
      <w:r>
        <w:rPr>
          <w:b/>
        </w:rPr>
        <w:t>ESB/КХД-решение заказчика — зафиксировать как формальное сужение скоупа, а не устное пожелание.</w:t>
      </w:r>
      <w:r>
        <w:t xml:space="preserve"> Предлагаем оформить отдельным пунктом в проектном ТЗ: «Email, Word/PDF-регламенты, Confluence, прямой Excel/CSV-коннектор — вне скоупа проекта». Это заодно закрывает старый пробел пилота (Email был Must Have в мастер-ТЗ без единого теста, </w:t>
      </w:r>
      <w:r>
        <w:rPr>
          <w:rFonts w:ascii="Consolas" w:hAnsi="Consolas"/>
          <w:sz w:val="20"/>
        </w:rPr>
        <w:t>TC-EMAIL</w:t>
      </w:r>
      <w:r>
        <w:t>) — не техническим долгом, а осознанным решением, зафиксированным письменно.</w:t>
      </w:r>
    </w:p>
    <w:p>
      <w:r>
        <w:t xml:space="preserve">2. </w:t>
      </w:r>
      <w:r>
        <w:rPr>
          <w:b/>
        </w:rPr>
        <w:t>«RAG-компании» — не вопрос в списке, а звонок на 30 минут до начала фазы П1.</w:t>
      </w:r>
      <w:r>
        <w:t xml:space="preserve"> Слишком развилочный пункт (federated-поиск между двумя RAG-системами — это другая архитектура, чем опечатка в названии), чтобы решать перепиской. Предлагаем закрыть это первым, до отправки остальных вопросов.</w:t>
      </w:r>
    </w:p>
    <w:p>
      <w:r>
        <w:t xml:space="preserve">3. </w:t>
      </w:r>
      <w:r>
        <w:rPr>
          <w:b/>
        </w:rPr>
        <w:t>Разграничение прав compliance/менеджер — предлагаем переквалифицировать из «опционально в v2» в обязательное для проекта.</w:t>
      </w:r>
      <w:r>
        <w:t xml:space="preserve"> Мастер-ТЗ пометил это как опциональное, но Д8 — брокер/инвестиционная компания, и доступ менеджера к чужим клиентам — это не UX-неудобство, а комплаенс-риск. Рекомендуем не спрашивать «нужно ли», а прямо предложить включить в обязательный скоуп П1 и попросить заказчика подтвердить/отклонить, а не решать с нуля.</w:t>
      </w:r>
    </w:p>
    <w:p>
      <w:r>
        <w:t xml:space="preserve">4. </w:t>
      </w:r>
      <w:r>
        <w:rPr>
          <w:b/>
        </w:rPr>
        <w:t>Динамические права доступа и обновление RAG через API — не блокировать старт проекта, но зафиксировать как gate для поздних волн.</w:t>
      </w:r>
      <w:r>
        <w:t xml:space="preserve"> Оба пункта сейчас в статусе «требует проработки» и на стороне платформы (реестр §3), то есть ждать их полной готовности перед стартом П1 нецелесообразно. Предлагаем: первые 1–2 волны запускать на статичной модели прав (как в пилоте), но заложить в архитектуру П2 совместимость с будущим переходом на API-модель — и явно зафиксировать, что волны с данными повышенной чувствительности (comлаенс, бэк-офис) не начинаются, пока оба пункта не готовы.</w:t>
      </w:r>
    </w:p>
    <w:p>
      <w:r>
        <w:t xml:space="preserve">5. </w:t>
      </w:r>
      <w:r>
        <w:rPr>
          <w:b/>
        </w:rPr>
        <w:t>Мультидоменная авторизация (критичный приоритет в реестре платформы) — предлагаем сначала оспорить применимость, а не сразу проектировать под неё.</w:t>
      </w:r>
      <w:r>
        <w:t xml:space="preserve"> Ни в одном документе базы нет признаков того, что Д8 — холдинг с несколькими доменами; известная оргструктура — одна компания. Прежде чем закладывать эту возможность в скоуп проекта, стоит явно спросить у заказчика, актуальна ли она для Д8 конкретно, или это общий продуктовый пункт вендора не по адресу.</w:t>
      </w:r>
    </w:p>
    <w:p>
      <w:r>
        <w:t xml:space="preserve">6. </w:t>
      </w:r>
      <w:r>
        <w:rPr>
          <w:b/>
        </w:rPr>
        <w:t>Порядок волн (к вопросу 16) — предлагаем по умолчанию: фронт-офис → аналитики/портфельные управляющие → руководство → бэк-офис.</w:t>
      </w:r>
      <w:r>
        <w:t xml:space="preserve"> Обоснование: фронт-офис — единственная роль, реально протестированная в пилоте (тот же кейс D8-014), значит первая волна — наименьший технический риск и самый быстрый цикл по методике (переиспользование готовых сценариев). Бэк-офис — последним, поскольку это самые чувствительные данные (сделки, документы) и именно туда упирается вопрос 4 выше (права доступа).</w:t>
      </w:r>
    </w:p>
    <w:p>
      <w:r>
        <w:t xml:space="preserve">7. </w:t>
      </w:r>
      <w:r>
        <w:rPr>
          <w:b/>
        </w:rPr>
        <w:t>Критерий перехода (к вопросу 17) — предлагаем не ждать дозакрытия сценариев 6 и 4.</w:t>
      </w:r>
      <w:r>
        <w:t xml:space="preserve"> По методике (§4.1 Кейса 2) переход не требует 100% pass. Предлагаем перенести оба открытых пункта в явный «список долга» бизнес-кейса П1 — с обязательством закрыть их в рамках первой волны, а не тихо забыть при переходе в проект.</w:t>
      </w:r>
    </w:p>
    <w:p>
      <w:r>
        <w:t xml:space="preserve">8. </w:t>
      </w:r>
      <w:r>
        <w:rPr>
          <w:b/>
        </w:rPr>
        <w:t>Реестр платформенных пунктов (§3) — предлагаем выделить в отдельный трек переговоров с вендором, не смешивать с вопросами к заказчику.</w:t>
      </w:r>
      <w:r>
        <w:t xml:space="preserve"> «Обновление данных в RAG через API» и «динамические права доступа» (оба — высокий приоритет) — это зависимости проекта Д8 от роадмапа вендора, а не то, что решает сам заказчик. Рекомендуем формализовать как два конкретных технических запроса вендору со сроками, по аналогии с </w:t>
      </w:r>
      <w:r>
        <w:rPr>
          <w:rFonts w:ascii="Consolas" w:hAnsi="Consolas"/>
          <w:sz w:val="20"/>
        </w:rPr>
        <w:t>case-11-voprosy-vendoru-roadmap.md</w:t>
      </w:r>
      <w:r>
        <w:t>, а не оставлять как общий пункт бэклога.</w:t>
      </w:r>
    </w:p>
    <w:p>
      <w:r>
        <w:t>---</w:t>
      </w:r>
    </w:p>
    <w:p>
      <w:pPr>
        <w:pStyle w:val="Heading2"/>
      </w:pPr>
      <w:r>
        <w:t>См. также</w:t>
      </w:r>
    </w:p>
    <w:p>
      <w:r>
        <w:t>- [</w:t>
      </w:r>
      <w:r>
        <w:rPr>
          <w:rFonts w:ascii="Consolas" w:hAnsi="Consolas"/>
          <w:sz w:val="20"/>
        </w:rPr>
        <w:t>docs/metodika-vnedreniya.md</w:t>
      </w:r>
      <w:r>
        <w:t>](../metodika-vnedreniya.md) — методика, Кейс 2 (П1–П5).</w:t>
      </w:r>
    </w:p>
    <w:p>
      <w:r>
        <w:t>- [</w:t>
      </w:r>
      <w:r>
        <w:rPr>
          <w:rFonts w:ascii="Consolas" w:hAnsi="Consolas"/>
          <w:sz w:val="20"/>
        </w:rPr>
        <w:t>docs/analysis/case-03-pilot-tz-ai-guard.md</w:t>
      </w:r>
      <w:r>
        <w:t>](case-03-pilot-tz-ai-guard.md) — пилотное ТЗ, скоуп пилота и явные ограничения.</w:t>
      </w:r>
    </w:p>
    <w:p>
      <w:r>
        <w:t>- [</w:t>
      </w:r>
      <w:r>
        <w:rPr>
          <w:rFonts w:ascii="Consolas" w:hAnsi="Consolas"/>
          <w:sz w:val="20"/>
        </w:rPr>
        <w:t>docs/analysis/case-02-tz-deep-analysis-and-proposals.md</w:t>
      </w:r>
      <w:r>
        <w:t>](case-02-tz-deep-analysis-and-proposals.md) — разбор мастер-ТЗ, полный ландшафт источников/ролей.</w:t>
      </w:r>
    </w:p>
    <w:p>
      <w:r>
        <w:t>- [</w:t>
      </w:r>
      <w:r>
        <w:rPr>
          <w:rFonts w:ascii="Consolas" w:hAnsi="Consolas"/>
          <w:sz w:val="20"/>
        </w:rPr>
        <w:t>docs/analysis/case-21-pereotsenka-scenariev-6-i-4-po-kriteriyam-priemki.md</w:t>
      </w:r>
      <w:r>
        <w:t>](case-21-pereotsenka-scenariev-6-i-4-po-kriteriyam-priemki.md) — формальный статус приёмки пилота (вопрос 17).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