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Скоуп проекта Д8 (Кейс 2 методики) — рабочий разбор и вопросы к заказчику</w:t>
      </w:r>
    </w:p>
    <w:p>
      <w:r>
        <w:rPr>
          <w:b/>
        </w:rPr>
        <w:t>Контекст:</w:t>
      </w:r>
      <w:r>
        <w:t xml:space="preserve"> применение методики внедрения (</w:t>
      </w:r>
      <w:r>
        <w:rPr>
          <w:rFonts w:ascii="Consolas" w:hAnsi="Consolas"/>
          <w:sz w:val="20"/>
        </w:rPr>
        <w:t>docs/metodika-vnedreniya.md</w:t>
      </w:r>
      <w:r>
        <w:t>, Кейс 2 — Проект) к конкретному кандидату — АО «Инвестиционная компания Д8», единственному клиенту в базе, реально прошедшему пилот достаточно далеко, чтобы обсуждать масштабирование. Ниже — то, что уже известно из пилотного ТЗ и разбора мастер-ТЗ, что подтвердил заказчик в этой сессии, и открытые вопросы, которые нужно закрыть до фазы П2 («Целевая архитектура и волны роллаута»).</w:t>
      </w:r>
    </w:p>
    <w:p>
      <w:r>
        <w:t>---</w:t>
      </w:r>
    </w:p>
    <w:p>
      <w:pPr>
        <w:pStyle w:val="Heading2"/>
      </w:pPr>
      <w:r>
        <w:t>1. Что уже известно (из пилотного ТЗ и мастер-ТЗ)</w:t>
      </w:r>
    </w:p>
    <w:p>
      <w:pPr>
        <w:pStyle w:val="Heading3"/>
      </w:pPr>
      <w:r>
        <w:t>Скоуп пилота (для сравнения)</w:t>
      </w:r>
    </w:p>
    <w:p>
      <w:r>
        <w:t xml:space="preserve">4 источника данных (КХД, CRM Bitrix24 через ESB, MCP-сервер, «RAG-компании» — статус не уточнён), 2 согласованные роли из «до 5 в перспективе», 2 коллекции документов, до 20 пилотных пользователей. Источник: </w:t>
      </w:r>
      <w:r>
        <w:rPr>
          <w:rFonts w:ascii="Consolas" w:hAnsi="Consolas"/>
          <w:sz w:val="20"/>
        </w:rPr>
        <w:t>case-03-pilot-tz-ai-guard.md</w:t>
      </w:r>
      <w:r>
        <w:t xml:space="preserve">, </w:t>
      </w:r>
      <w:r>
        <w:rPr>
          <w:rFonts w:ascii="Consolas" w:hAnsi="Consolas"/>
          <w:sz w:val="20"/>
        </w:rPr>
        <w:t>docs/onboarding.md</w:t>
      </w:r>
      <w:r>
        <w:t>.</w:t>
      </w:r>
    </w:p>
    <w:p>
      <w:pPr>
        <w:pStyle w:val="Heading3"/>
      </w:pPr>
      <w:r>
        <w:t>Полный ландшафт по мастер-ТЗ (</w:t>
      </w:r>
      <w:r>
        <w:rPr>
          <w:rFonts w:ascii="Consolas" w:hAnsi="Consolas"/>
          <w:sz w:val="20"/>
        </w:rPr>
        <w:t>docs/sources/tz-rag-investment.pdf</w:t>
      </w:r>
      <w:r>
        <w:t>, §1.2–1.3) — шире пилота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Критичность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Подключение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 пилоте?</w:t>
            </w:r>
          </w:p>
        </w:tc>
      </w:tr>
      <w:tr>
        <w:tc>
          <w:tcPr>
            <w:tcW w:type="dxa" w:w="2160"/>
          </w:tcPr>
          <w:p>
            <w:r>
              <w:t>CRM Bitrix24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REST API/Webhook</w:t>
            </w:r>
          </w:p>
        </w:tc>
        <w:tc>
          <w:tcPr>
            <w:tcW w:type="dxa" w:w="2160"/>
          </w:tcPr>
          <w:p>
            <w:r>
              <w:t>Да (через ESB)</w:t>
            </w:r>
          </w:p>
        </w:tc>
      </w:tr>
      <w:tr>
        <w:tc>
          <w:tcPr>
            <w:tcW w:type="dxa" w:w="2160"/>
          </w:tcPr>
          <w:p>
            <w:r>
              <w:t>Excel/CSV (портфели, AUM/AUC, P&amp;L, сделки, отчёты)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Word/PDF (декларации, договоры ДУ, меморандумы, регламенты)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Email (входящие/исходящие)</w:t>
            </w:r>
          </w:p>
        </w:tc>
        <w:tc>
          <w:tcPr>
            <w:tcW w:type="dxa" w:w="2160"/>
          </w:tcPr>
          <w:p>
            <w:r>
              <w:t>Низкий</w:t>
            </w:r>
          </w:p>
        </w:tc>
        <w:tc>
          <w:tcPr>
            <w:tcW w:type="dxa" w:w="2160"/>
          </w:tcPr>
          <w:p>
            <w:r>
              <w:t>IMAP/MS Graph API</w:t>
            </w:r>
          </w:p>
        </w:tc>
        <w:tc>
          <w:tcPr>
            <w:tcW w:type="dxa" w:w="2160"/>
          </w:tcPr>
          <w:p>
            <w:r>
              <w:t>Нет — Must Have в ТЗ, но 0 тест-кейсов TC-EMAIL</w:t>
            </w:r>
          </w:p>
        </w:tc>
      </w:tr>
      <w:tr>
        <w:tc>
          <w:tcPr>
            <w:tcW w:type="dxa" w:w="2160"/>
          </w:tcPr>
          <w:p>
            <w:r>
              <w:t>Внутренние регламенты (compliance)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  <w:tc>
          <w:tcPr>
            <w:tcW w:type="dxa" w:w="2160"/>
          </w:tcPr>
          <w:p>
            <w:r>
              <w:t>Word/PDF папка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Back office (сделки, документы)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Confluence (база знаний)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Confluence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</w:tbl>
    <w:p>
      <w:r>
        <w:t>Роли по мастер-ТЗ (§1.3): Менеджер фронт-офиса (10–20 чел), Аналитик/Портфельный управляющий (5–10 чел), Руководство (3–7 чел), Бэк-офис (5–10 чел) — суммарно ориентировочно 23–47 человек против пилотных «до 20 пользователей» и 2 активных ролей.</w:t>
      </w:r>
    </w:p>
    <w:p>
      <w:r>
        <w:rPr>
          <w:b/>
        </w:rPr>
        <w:t>Явно отложено в мастер-ТЗ (п. 3.2, дословно):</w:t>
      </w:r>
      <w:r>
        <w:t xml:space="preserve"> «Разграничение прав: compliance видит свои документы, менеджер — своих клиентов (опционально в v2)» — то есть построчная сегрегация доступа внутри роли сейчас не гарантирована даже логически, не только по факту пилота.</w:t>
      </w:r>
    </w:p>
    <w:p>
      <w:r>
        <w:rPr>
          <w:b/>
        </w:rPr>
        <w:t>Важно:</w:t>
      </w:r>
      <w:r>
        <w:t xml:space="preserve"> ни в одном документе базы нет фактической оргструктуры/штата Д8 — таблица ролей выше взята из мастер-ТЗ и не сверялась с реальными подразделениями (см. </w:t>
      </w:r>
      <w:r>
        <w:rPr>
          <w:rFonts w:ascii="Consolas" w:hAnsi="Consolas"/>
          <w:sz w:val="20"/>
        </w:rPr>
        <w:t>case-20-katalog-tree-critic-verdict.md</w:t>
      </w:r>
      <w:r>
        <w:t>). Это не факт, а лучшее доступное приближение.</w:t>
      </w:r>
    </w:p>
    <w:p>
      <w:r>
        <w:t>---</w:t>
      </w:r>
    </w:p>
    <w:p>
      <w:pPr>
        <w:pStyle w:val="Heading2"/>
      </w:pPr>
      <w:r>
        <w:t>2. Подтверждено заказчиком в этой сессии (13–14.09.2026)</w:t>
      </w:r>
    </w:p>
    <w:p>
      <w:r>
        <w:t xml:space="preserve">Уточнение формулировки: все 4 пилотных источника (КХД, ESB/CRM Bitrix24, MCP-сервер, «RAG-компании») </w:t>
      </w:r>
      <w:r>
        <w:rPr>
          <w:b/>
        </w:rPr>
        <w:t>остаются в скоупе проекта</w:t>
      </w:r>
      <w:r>
        <w:t xml:space="preserve"> — ничего из них не выводится. Но </w:t>
      </w:r>
      <w:r>
        <w:rPr>
          <w:b/>
        </w:rPr>
        <w:t>ESB и КХД — основные каналы, которые расширяются</w:t>
      </w:r>
      <w:r>
        <w:t>: больше витрин данных и больше API внутри шины, плюс, видимо, более широкий периметр самого хранилища. MCP-сервер и «RAG-компании» остаются в проекте как есть, на пилотном уровне — без заявленного расширения (если не появится отдельного запроса).</w:t>
      </w:r>
    </w:p>
    <w:p>
      <w:r>
        <w:t>Это меняет форму фазы П2 методики: не «подключить N новых источников», а «углубить 2 из 4 уже подключённых источника (ESB, КХД) — расширить витрины/API» при сохранении MCP-сервера и «RAG-компании» на текущем уровне. Источники из мастер-ТЗ, не входившие в пилот (Excel/CSV напрямую, Email, Confluence, отдельный back-office-коннектор) — по-прежнему не подтверждены и не затронуты этим решением ни в одну, ни в другую сторону (см. вопрос 9).</w:t>
      </w:r>
    </w:p>
    <w:p>
      <w:r>
        <w:t>---</w:t>
      </w:r>
    </w:p>
    <w:p>
      <w:pPr>
        <w:pStyle w:val="Heading2"/>
      </w:pPr>
      <w:r>
        <w:t>3. Реестр открытых платформенных пунктов (скриншот трекера, эта сессия)</w:t>
      </w:r>
    </w:p>
    <w:p>
      <w:r>
        <w:t>Транскрипция таблицы, присланной пользователем — статус/приоритет платформенных возможностей, релевантных для оценки готовности к проекту Д8: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Приоритет</w:t>
            </w:r>
          </w:p>
        </w:tc>
      </w:tr>
      <w:tr>
        <w:tc>
          <w:tcPr>
            <w:tcW w:type="dxa" w:w="2880"/>
          </w:tcPr>
          <w:p>
            <w:r>
              <w:t>В плане</w:t>
            </w:r>
          </w:p>
        </w:tc>
        <w:tc>
          <w:tcPr>
            <w:tcW w:type="dxa" w:w="2880"/>
          </w:tcPr>
          <w:p>
            <w:r>
              <w:t>Мультидоменная авторизация</w:t>
            </w:r>
          </w:p>
        </w:tc>
        <w:tc>
          <w:tcPr>
            <w:tcW w:type="dxa" w:w="2880"/>
          </w:tcPr>
          <w:p>
            <w:r>
              <w:t>Критичный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Работа с MS Office 365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  <w:tr>
        <w:tc>
          <w:tcPr>
            <w:tcW w:type="dxa" w:w="2880"/>
          </w:tcPr>
          <w:p>
            <w:r>
              <w:t>Выяснить про search API</w:t>
            </w:r>
          </w:p>
        </w:tc>
        <w:tc>
          <w:tcPr>
            <w:tcW w:type="dxa" w:w="2880"/>
          </w:tcPr>
          <w:p>
            <w:r>
              <w:t>Поддержка актуальной версии API Claude (web search и т.п.)</w:t>
            </w:r>
          </w:p>
        </w:tc>
        <w:tc>
          <w:tcPr>
            <w:tcW w:type="dxa" w:w="2880"/>
          </w:tcPr>
          <w:p>
            <w:r>
              <w:t>Критичный</w:t>
            </w:r>
          </w:p>
        </w:tc>
      </w:tr>
      <w:tr>
        <w:tc>
          <w:tcPr>
            <w:tcW w:type="dxa" w:w="2880"/>
          </w:tcPr>
          <w:p>
            <w:r>
              <w:t>Кастомизация выбора источников</w:t>
            </w:r>
          </w:p>
        </w:tc>
        <w:tc>
          <w:tcPr>
            <w:tcW w:type="dxa" w:w="2880"/>
          </w:tcPr>
          <w:p>
            <w:r>
              <w:t>Возможность подключения/отключения источников данных внутри компании при работе в режиме чата и через API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Отмечать замены в анонимизируемых данных для пользовательских правил не как CUSTOM_N, а с разными наименованиями для разных правил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Обновление данных в RAG-ах через API. Базы знаний ведутся в других источниках, нужны автоматические процедуры по поддержанию в актуальном состоянии баз знаний в ИИ платформе</w:t>
            </w:r>
          </w:p>
        </w:tc>
        <w:tc>
          <w:tcPr>
            <w:tcW w:type="dxa" w:w="2880"/>
          </w:tcPr>
          <w:p>
            <w:r>
              <w:t>Высокий</w:t>
            </w:r>
          </w:p>
        </w:tc>
      </w:tr>
      <w:tr>
        <w:tc>
          <w:tcPr>
            <w:tcW w:type="dxa" w:w="2880"/>
          </w:tcPr>
          <w:p>
            <w:r>
              <w:t>Требует проработки</w:t>
            </w:r>
          </w:p>
        </w:tc>
        <w:tc>
          <w:tcPr>
            <w:tcW w:type="dxa" w:w="2880"/>
          </w:tcPr>
          <w:p>
            <w:r>
              <w:t>Обновление информации о правах доступа сотрудников к данным внутри таблиц. Сейчас — только по фиксированному списку из политик доступа. Нужно, чтобы данные получались через таблицы/API — права динамические и могут регулярно меняться</w:t>
            </w:r>
          </w:p>
        </w:tc>
        <w:tc>
          <w:tcPr>
            <w:tcW w:type="dxa" w:w="2880"/>
          </w:tcPr>
          <w:p>
            <w:r>
              <w:t>Высокий</w:t>
            </w:r>
          </w:p>
        </w:tc>
      </w:tr>
      <w:tr>
        <w:tc>
          <w:tcPr>
            <w:tcW w:type="dxa" w:w="2880"/>
          </w:tcPr>
          <w:p>
            <w:r>
              <w:t>Требует проработки (визуал)</w:t>
            </w:r>
          </w:p>
        </w:tc>
        <w:tc>
          <w:tcPr>
            <w:tcW w:type="dxa" w:w="2880"/>
          </w:tcPr>
          <w:p>
            <w:r>
              <w:t>Работа с графиками — проблемы в отображении данных, есть планы по красоте отображения, пока не хочется оставлять как целевой вариант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  <w:tr>
        <w:tc>
          <w:tcPr>
            <w:tcW w:type="dxa" w:w="2880"/>
          </w:tcPr>
          <w:p>
            <w:r>
              <w:t>Требует проработки</w:t>
            </w:r>
          </w:p>
        </w:tc>
        <w:tc>
          <w:tcPr>
            <w:tcW w:type="dxa" w:w="2880"/>
          </w:tcPr>
          <w:p>
            <w:r>
              <w:t>Дать пользователям возможность создавать RAG и делиться ими с сотрудниками — персональные коллекции у пользователя, а не набор файлов как сейчас. Выводить документы в фильтры для пользователя при выборе источника запроса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  <w:tr>
        <w:tc>
          <w:tcPr>
            <w:tcW w:type="dxa" w:w="2880"/>
          </w:tcPr>
          <w:p>
            <w:r>
              <w:t>В работе</w:t>
            </w:r>
          </w:p>
        </w:tc>
        <w:tc>
          <w:tcPr>
            <w:tcW w:type="dxa" w:w="2880"/>
          </w:tcPr>
          <w:p>
            <w:r>
              <w:t>Пользовательская и админская документация на систему</w:t>
            </w:r>
          </w:p>
        </w:tc>
        <w:tc>
          <w:tcPr>
            <w:tcW w:type="dxa" w:w="2880"/>
          </w:tcPr>
          <w:p>
            <w:r>
              <w:t>Высокий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Упрощение заведения пользователей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</w:tbl>
    <w:p>
      <w:r>
        <w:rPr>
          <w:b/>
        </w:rPr>
        <w:t>Прямая связь с решением по ESB (§2):</w:t>
      </w:r>
      <w:r>
        <w:t xml:space="preserve"> пункты «Обновление данных в RAG-ах через API» (высокий) и «Обновление информации о правах доступа... через таблицы/API» (высокий) — это ровно то, что нужно для расширения витрин/API в шине; без них расширение ESB даёт больше данных, но не даёт актуальности и динамических прав доступа. Это, вероятно, узкое место проекта Д8, а не только общий пункт бэклога платформы.</w:t>
      </w:r>
    </w:p>
    <w:p>
      <w:r>
        <w:t>---</w:t>
      </w:r>
    </w:p>
    <w:p>
      <w:pPr>
        <w:pStyle w:val="Heading2"/>
      </w:pPr>
      <w:r>
        <w:t>4. Список вопросов к заказчику (Д8)</w:t>
      </w:r>
    </w:p>
    <w:p>
      <w:pPr>
        <w:pStyle w:val="Heading3"/>
      </w:pPr>
      <w:r>
        <w:t>Интеграция (ESB / КХД)</w:t>
      </w:r>
    </w:p>
    <w:p>
      <w:r>
        <w:t>1. Какие конкретно витрины данных нужно добавить в ESB сверх текущего среза CRM (Bitrix24)? Список витрин с владельцами на стороне Д8.</w:t>
      </w:r>
    </w:p>
    <w:p>
      <w:r>
        <w:t>2. Какие конкретно API нужно открыть через шину — по каждому: система-источник, формат (REST/SOAP/др.), кто на стороне Д8 отвечает за контракт API.</w:t>
      </w:r>
    </w:p>
    <w:p>
      <w:r>
        <w:t>3. КХД — расширяется ли состав таблиц/витрин внутри самого хранилища, или его периметр остаётся как в пилоте?</w:t>
      </w:r>
    </w:p>
    <w:p>
      <w:r>
        <w:t>4. Что такое «RAG-компании» — отдельная существующая RAG-система Д8 (тогда нужна федерация поиска между двумя RAG) или другое название того же пилотного контура? (Открытый вопрос ещё с пилотного ТЗ, не закрыт.)</w:t>
      </w:r>
    </w:p>
    <w:p>
      <w:pPr>
        <w:pStyle w:val="Heading3"/>
      </w:pPr>
      <w:r>
        <w:t>Права доступа и роли</w:t>
      </w:r>
    </w:p>
    <w:p>
      <w:r>
        <w:t>5. Реальная оргструктура для проекта: список подразделений/ролей с числом пользователей в каждой (не гипотетическая таблица из мастер-ТЗ, а факт) — нужна для фазы П2 (карта волн роллаута).</w:t>
      </w:r>
    </w:p>
    <w:p>
      <w:r>
        <w:t>6. Разграничение прав «compliance видит своё, менеджер — своих клиентов» (п. 3.2 мастер-ТЗ, помечено «опционально в v2») — обязательное требование для проекта или можно оставить на будущее?</w:t>
      </w:r>
    </w:p>
    <w:p>
      <w:r>
        <w:t>7. Права доступа сотрудников сейчас фиксированы по статичному списку политик. Для проекта это должно стать динамическим (через таблицы/API из системы-источника прав)? Если да — какая система является источником истины по правам (HR-система, Bitrix24, отдельный IAM)?</w:t>
      </w:r>
    </w:p>
    <w:p>
      <w:r>
        <w:t>8. Нужна ли мультидоменная авторизация (из реестра платформы, критичный приоритет) — сколько доменов/поддоменов у Д8 предполагается подключить?</w:t>
      </w:r>
    </w:p>
    <w:p>
      <w:pPr>
        <w:pStyle w:val="Heading3"/>
      </w:pPr>
      <w:r>
        <w:t>Источники данных вне пилотных четырёх</w:t>
      </w:r>
    </w:p>
    <w:p>
      <w:r>
        <w:t>9. Email, Word/PDF-регламенты, Confluence из мастер-ТЗ (§1.2) — они не входили в пилот и не затронуты решением расширять ESB/КХД. Подтверждается ли, что они НЕ входят и в проект, или это отдельный вопрос, который ещё предстоит решить?</w:t>
      </w:r>
    </w:p>
    <w:p>
      <w:r>
        <w:t>10. Email в мастер-ТЗ помечен Must Have, но тест-кейсы (TC-EMAIL) отсутствовали уже в пилоте — снимается ли это требование в проекте или переносится?</w:t>
      </w:r>
    </w:p>
    <w:p>
      <w:pPr>
        <w:pStyle w:val="Heading3"/>
      </w:pPr>
      <w:r>
        <w:t>Платформенные возможности (из реестра §3)</w:t>
      </w:r>
    </w:p>
    <w:p>
      <w:r>
        <w:t>11. Актуализация RAG-баз через API (высокий приоритет в реестре) — это блокер для проекта Д8 или можно стартовать с ручным/пакетным обновлением на первых волнах?</w:t>
      </w:r>
    </w:p>
    <w:p>
      <w:r>
        <w:t>12. Персональные RAG-коллекции пользователей — нужны ли для проекта Д8, или это общий продуктовый пункт не по конкретному запросу заказчика?</w:t>
      </w:r>
    </w:p>
    <w:p>
      <w:r>
        <w:t>13. Работа с MS Office 365 — есть ли у Д8 контур O365 (SharePoint/Outlook/Teams), который нужно подключать, или пункт не относится к этому проекту?</w:t>
      </w:r>
    </w:p>
    <w:p>
      <w:r>
        <w:t>14. Поддержка актуальной версии API внешней модели (web search и т.п.) — есть ли у Д8 конкретный сценарий использования веб-поиска, который сейчас блокирован?</w:t>
      </w:r>
    </w:p>
    <w:p>
      <w:pPr>
        <w:pStyle w:val="Heading3"/>
      </w:pPr>
      <w:r>
        <w:t>Общее по проекту (Кейс 2 методики)</w:t>
      </w:r>
    </w:p>
    <w:p>
      <w:r>
        <w:t>15. Кто со стороны Д8 — новый владелец процесса на фазе П4 (промышленная эксплуатация)? Тот же технический контакт, что в пилоте, или отдельная выделенная роль/команда?</w:t>
      </w:r>
    </w:p>
    <w:p>
      <w:r>
        <w:t>16. Есть ли у Д8 предпочтение по разбивке на волны (по подразделениям, по типам источников, по группам пользователей) — или карту волн предлагаем мы (фаза П2)?</w:t>
      </w:r>
    </w:p>
    <w:p>
      <w:r>
        <w:t xml:space="preserve">17. Формальный критерий перехода в проект: пилот по </w:t>
      </w:r>
      <w:r>
        <w:rPr>
          <w:rFonts w:ascii="Consolas" w:hAnsi="Consolas"/>
          <w:sz w:val="20"/>
        </w:rPr>
        <w:t>case-21</w:t>
      </w:r>
      <w:r>
        <w:t xml:space="preserve"> не прошёл все пороги приёмки (Сценарий 6: 67,4%/70%, Сценарий 4: 87,5%/95%) — Д8 согласен двигаться дальше при текущем результате, или ждём отдельного дозакрытия этих двух пунктов до старта П1?</w:t>
      </w:r>
    </w:p>
    <w:p>
      <w:r>
        <w:t>---</w:t>
      </w:r>
    </w:p>
    <w:p>
      <w:pPr>
        <w:pStyle w:val="Heading2"/>
      </w:pPr>
      <w:r>
        <w:t>5. Наши предложения (не только вопросы — рабочая позиция по умолчанию)</w:t>
      </w:r>
    </w:p>
    <w:p>
      <w:r>
        <w:t>По части вопросов есть смысл не просто спрашивать, а предложить заказчику отправную позицию — легче поправить готовое предложение, чем отвечать на открытый вопрос с нуля.</w:t>
      </w:r>
    </w:p>
    <w:p>
      <w:r>
        <w:t xml:space="preserve">1. </w:t>
      </w:r>
      <w:r>
        <w:rPr>
          <w:b/>
        </w:rPr>
        <w:t>Решение по ESB/КХД зафиксировать письменно как есть — расширение, не сужение.</w:t>
      </w:r>
      <w:r>
        <w:t xml:space="preserve"> Предлагаем формулировку для проектного ТЗ: «Все 4 пилотных источника (КХД, ESB/CRM, MCP-сервер, «RAG-компании») остаются в проекте; ESB и КХД получают расширение (витрины/API), MCP-сервер и «RAG-компании» — на пилотном уровне». Источники вне пилотной четвёрки (Email, Word/PDF-регламенты, Confluence, прямой Excel/CSV) — отдельный, пока не решённый вопрос (см. вопрос 9), не путать с этим решением.</w:t>
      </w:r>
    </w:p>
    <w:p>
      <w:r>
        <w:t xml:space="preserve">2. </w:t>
      </w:r>
      <w:r>
        <w:rPr>
          <w:b/>
        </w:rPr>
        <w:t>«RAG-компании» — не вопрос в списке, а звонок на 30 минут до начала фазы П1.</w:t>
      </w:r>
      <w:r>
        <w:t xml:space="preserve"> Слишком развилочный пункт (federated-поиск между двумя RAG-системами — это другая архитектура, чем опечатка в названии), чтобы решать перепиской. Предлагаем закрыть это первым, до отправки остальных вопросов.</w:t>
      </w:r>
    </w:p>
    <w:p>
      <w:r>
        <w:t xml:space="preserve">3. </w:t>
      </w:r>
      <w:r>
        <w:rPr>
          <w:b/>
        </w:rPr>
        <w:t>Разграничение прав compliance/менеджер — предлагаем переквалифицировать из «опционально в v2» в обязательное для проекта.</w:t>
      </w:r>
      <w:r>
        <w:t xml:space="preserve"> Мастер-ТЗ пометил это как опциональное, но Д8 — брокер/инвестиционная компания, и доступ менеджера к чужим клиентам — это не UX-неудобство, а комплаенс-риск. Рекомендуем не спрашивать «нужно ли», а прямо предложить включить в обязательный скоуп П1 и попросить заказчика подтвердить/отклонить, а не решать с нуля.</w:t>
      </w:r>
    </w:p>
    <w:p>
      <w:r>
        <w:t xml:space="preserve">4. </w:t>
      </w:r>
      <w:r>
        <w:rPr>
          <w:b/>
        </w:rPr>
        <w:t>Динамические права доступа и обновление RAG через API — не блокировать старт проекта, но зафиксировать как gate для поздних волн.</w:t>
      </w:r>
      <w:r>
        <w:t xml:space="preserve"> Оба пункта сейчас в статусе «требует проработки» и на стороне платформы (реестр §3), то есть ждать их полной готовности перед стартом П1 нецелесообразно. Предлагаем: первые 1–2 волны запускать на статичной модели прав (как в пилоте), но заложить в архитектуру П2 совместимость с будущим переходом на API-модель — и явно зафиксировать, что волны с данными повышенной чувствительности (comлаенс, бэк-офис) не начинаются, пока оба пункта не готовы.</w:t>
      </w:r>
    </w:p>
    <w:p>
      <w:r>
        <w:t xml:space="preserve">5. </w:t>
      </w:r>
      <w:r>
        <w:rPr>
          <w:b/>
        </w:rPr>
        <w:t>Мультидоменная авторизация (критичный приоритет в реестре платформы) — предлагаем сначала оспорить применимость, а не сразу проектировать под неё.</w:t>
      </w:r>
      <w:r>
        <w:t xml:space="preserve"> Ни в одном документе базы нет признаков того, что Д8 — холдинг с несколькими доменами; известная оргструктура — одна компания. Прежде чем закладывать эту возможность в скоуп проекта, стоит явно спросить у заказчика, актуальна ли она для Д8 конкретно, или это общий продуктовый пункт вендора не по адресу.</w:t>
      </w:r>
    </w:p>
    <w:p>
      <w:r>
        <w:t xml:space="preserve">6. </w:t>
      </w:r>
      <w:r>
        <w:rPr>
          <w:b/>
        </w:rPr>
        <w:t>Порядок волн (к вопросу 16) — предлагаем по умолчанию: фронт-офис → аналитики/портфельные управляющие → руководство → бэк-офис.</w:t>
      </w:r>
      <w:r>
        <w:t xml:space="preserve"> Обоснование: фронт-офис — единственная роль, реально протестированная в пилоте (тот же кейс D8-014), значит первая волна — наименьший технический риск и самый быстрый цикл по методике (переиспользование готовых сценариев). Бэк-офис — последним, поскольку это самые чувствительные данные (сделки, документы) и именно туда упирается вопрос 4 выше (права доступа).</w:t>
      </w:r>
    </w:p>
    <w:p>
      <w:r>
        <w:t xml:space="preserve">7. </w:t>
      </w:r>
      <w:r>
        <w:rPr>
          <w:b/>
        </w:rPr>
        <w:t>Критерий перехода (к вопросу 17) — предлагаем не ждать дозакрытия сценариев 6 и 4.</w:t>
      </w:r>
      <w:r>
        <w:t xml:space="preserve"> По методике (§4.1 Кейса 2) переход не требует 100% pass. Предлагаем перенести оба открытых пункта в явный «список долга» бизнес-кейса П1 — с обязательством закрыть их в рамках первой волны, а не тихо забыть при переходе в проект.</w:t>
      </w:r>
    </w:p>
    <w:p>
      <w:r>
        <w:t xml:space="preserve">8. </w:t>
      </w:r>
      <w:r>
        <w:rPr>
          <w:b/>
        </w:rPr>
        <w:t>Реестр платформенных пунктов (§3) — предлагаем выделить в отдельный трек переговоров с вендором, не смешивать с вопросами к заказчику.</w:t>
      </w:r>
      <w:r>
        <w:t xml:space="preserve"> «Обновление данных в RAG через API» и «динамические права доступа» (оба — высокий приоритет) — это зависимости проекта Д8 от роадмапа вендора, а не то, что решает сам заказчик. Рекомендуем формализовать как два конкретных технических запроса вендору со сроками, по аналогии с </w:t>
      </w:r>
      <w:r>
        <w:rPr>
          <w:rFonts w:ascii="Consolas" w:hAnsi="Consolas"/>
          <w:sz w:val="20"/>
        </w:rPr>
        <w:t>case-11-voprosy-vendoru-roadmap.md</w:t>
      </w:r>
      <w:r>
        <w:t>, а не оставлять как общий пункт бэклога.</w:t>
      </w:r>
    </w:p>
    <w:p>
      <w:r>
        <w:t>---</w:t>
      </w:r>
    </w:p>
    <w:p>
      <w:pPr>
        <w:pStyle w:val="Heading2"/>
      </w:pPr>
      <w:r>
        <w:t>См. также</w:t>
      </w:r>
    </w:p>
    <w:p>
      <w:r>
        <w:t>- [</w:t>
      </w:r>
      <w:r>
        <w:rPr>
          <w:rFonts w:ascii="Consolas" w:hAnsi="Consolas"/>
          <w:sz w:val="20"/>
        </w:rPr>
        <w:t>docs/metodika-vnedreniya.md</w:t>
      </w:r>
      <w:r>
        <w:t>](../metodika-vnedreniya.md) — методика, Кейс 2 (П1–П5).</w:t>
      </w:r>
    </w:p>
    <w:p>
      <w:r>
        <w:t>- [</w:t>
      </w:r>
      <w:r>
        <w:rPr>
          <w:rFonts w:ascii="Consolas" w:hAnsi="Consolas"/>
          <w:sz w:val="20"/>
        </w:rPr>
        <w:t>docs/analysis/case-03-pilot-tz-ai-guard.md</w:t>
      </w:r>
      <w:r>
        <w:t>](case-03-pilot-tz-ai-guard.md) — пилотное ТЗ, скоуп пилота и явные ограничения.</w:t>
      </w:r>
    </w:p>
    <w:p>
      <w:r>
        <w:t>- [</w:t>
      </w:r>
      <w:r>
        <w:rPr>
          <w:rFonts w:ascii="Consolas" w:hAnsi="Consolas"/>
          <w:sz w:val="20"/>
        </w:rPr>
        <w:t>docs/analysis/case-02-tz-deep-analysis-and-proposals.md</w:t>
      </w:r>
      <w:r>
        <w:t>](case-02-tz-deep-analysis-and-proposals.md) — разбор мастер-ТЗ, полный ландшафт источников/ролей.</w:t>
      </w:r>
    </w:p>
    <w:p>
      <w:r>
        <w:t>- [</w:t>
      </w:r>
      <w:r>
        <w:rPr>
          <w:rFonts w:ascii="Consolas" w:hAnsi="Consolas"/>
          <w:sz w:val="20"/>
        </w:rPr>
        <w:t>docs/analysis/case-21-pereotsenka-scenariev-6-i-4-po-kriteriyam-priemki.md</w:t>
      </w:r>
      <w:r>
        <w:t>](case-21-pereotsenka-scenariev-6-i-4-po-kriteriyam-priemki.md) — формальный статус приёмки пилота (вопрос 17).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