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color w:val="0E7C86"/>
          <w:sz w:val="19"/>
        </w:rPr>
        <w:t>КЕЙС 2 — ПРОЕКТ · ВНЕДРЕНИЕ ПЛАТФОРМЫ «КАМЕРАТА»</w:t>
      </w:r>
    </w:p>
    <w:p>
      <w:pPr>
        <w:spacing w:after="80"/>
      </w:pPr>
      <w:r>
        <w:rPr>
          <w:rFonts w:ascii="Cambria" w:hAnsi="Cambria"/>
          <w:b/>
          <w:color w:val="1A2733"/>
          <w:sz w:val="60"/>
        </w:rPr>
        <w:t>Скоуп проекта Д8</w:t>
      </w:r>
    </w:p>
    <w:p>
      <w:pPr>
        <w:spacing w:after="120"/>
      </w:pPr>
      <w:r>
        <w:rPr>
          <w:color w:val="5B6B7A"/>
          <w:sz w:val="22"/>
        </w:rPr>
        <w:t>Программа проекта, реестр зафиксированных пожеланий заказчика и наши вопросы.</w:t>
      </w:r>
    </w:p>
    <w:p>
      <w:pPr>
        <w:spacing w:after="80"/>
      </w:pPr>
      <w:r>
        <w:rPr>
          <w:i/>
          <w:color w:val="8C99A6"/>
          <w:sz w:val="19"/>
        </w:rPr>
        <w:t>6 этапов и волн в программе  ·  11 пунктов реестра пожеланий  ·  3 волны требуют детализации  ·  4 вопроса по пожеланиям заказчика</w:t>
      </w:r>
    </w:p>
    <w:p/>
    <w:p>
      <w:pPr>
        <w:pStyle w:val="Heading1"/>
        <w:spacing w:before="280" w:after="80"/>
      </w:pPr>
      <w:r>
        <w:rPr>
          <w:rFonts w:ascii="Cambria" w:hAnsi="Cambria"/>
          <w:b/>
          <w:color w:val="1A2733"/>
          <w:sz w:val="36"/>
        </w:rPr>
        <w:t>1. Наши вопросы — по волнам</w:t>
      </w:r>
    </w:p>
    <w:p>
      <w:pPr>
        <w:spacing w:after="200"/>
      </w:pPr>
      <w:r>
        <w:rPr>
          <w:rFonts w:ascii="Calibri" w:hAnsi="Calibri"/>
          <w:i/>
          <w:color w:val="5B6B7A"/>
          <w:sz w:val="21"/>
        </w:rPr>
        <w:t>Цель и критерий достижения — вопросы к Д8, не наши формулировки. Плюс что нужно уточнить по содержанию.</w:t>
      </w:r>
    </w:p>
    <w:p>
      <w:pPr>
        <w:spacing w:before="200" w:after="20"/>
      </w:pPr>
      <w:r>
        <w:rPr>
          <w:b/>
          <w:color w:val="C0392B"/>
          <w:sz w:val="17"/>
        </w:rPr>
        <w:t xml:space="preserve">КРИТИЧНЫЙ  </w:t>
      </w:r>
      <w:r>
        <w:rPr>
          <w:rFonts w:ascii="Cambria" w:hAnsi="Cambria"/>
          <w:b/>
          <w:color w:val="1A2733"/>
          <w:sz w:val="26"/>
        </w:rPr>
        <w:t>Волна 1 — RAG-документы</w:t>
      </w:r>
    </w:p>
    <w:p>
      <w:pPr>
        <w:spacing w:after="40"/>
      </w:pPr>
      <w:r>
        <w:rPr>
          <w:b/>
          <w:color w:val="0A5F67"/>
          <w:sz w:val="18"/>
        </w:rPr>
        <w:t xml:space="preserve">Вопрос — цель волны:  </w:t>
      </w:r>
      <w:r>
        <w:rPr>
          <w:i/>
          <w:color w:val="1A2733"/>
          <w:sz w:val="21"/>
        </w:rPr>
        <w:t>Какой результат для бизнеса должна дать волна 1? Что изменится для пользователей/процессов?</w:t>
      </w:r>
    </w:p>
    <w:p>
      <w:pPr>
        <w:pStyle w:val="ListBullet"/>
        <w:spacing w:after="20"/>
      </w:pPr>
      <w:r>
        <w:rPr>
          <w:color w:val="5B6B7A"/>
          <w:sz w:val="20"/>
        </w:rPr>
        <w:t>Толкование: новые типы документов / улучшение существующих / новая коллекция?</w:t>
      </w:r>
    </w:p>
    <w:p>
      <w:pPr>
        <w:pStyle w:val="ListBullet"/>
        <w:spacing w:after="20"/>
      </w:pPr>
      <w:r>
        <w:rPr>
          <w:color w:val="5B6B7A"/>
          <w:sz w:val="20"/>
        </w:rPr>
        <w:t>Состав и объём: темы, количество коллекций и документов</w:t>
      </w:r>
    </w:p>
    <w:p>
      <w:pPr>
        <w:pStyle w:val="ListBullet"/>
        <w:spacing w:after="20"/>
      </w:pPr>
      <w:r>
        <w:rPr>
          <w:color w:val="5B6B7A"/>
          <w:sz w:val="20"/>
        </w:rPr>
        <w:t>Пользователи и роли волны 1</w:t>
      </w:r>
    </w:p>
    <w:p>
      <w:pPr>
        <w:spacing w:after="80"/>
      </w:pPr>
      <w:r>
        <w:rPr>
          <w:b/>
          <w:color w:val="C97A1A"/>
          <w:sz w:val="18"/>
        </w:rPr>
        <w:t xml:space="preserve">Вопрос — критерий достижения:  </w:t>
      </w:r>
      <w:r>
        <w:rPr>
          <w:color w:val="1A2733"/>
          <w:sz w:val="21"/>
        </w:rPr>
        <w:t>По каким признакам вы будете считать волну 1 завершённой и успешной?</w:t>
      </w:r>
    </w:p>
    <w:p>
      <w:pPr>
        <w:spacing w:before="200" w:after="20"/>
      </w:pPr>
      <w:r>
        <w:rPr>
          <w:b/>
          <w:color w:val="C97A1A"/>
          <w:sz w:val="17"/>
        </w:rPr>
        <w:t xml:space="preserve">ВЫСОКИЙ  </w:t>
      </w:r>
      <w:r>
        <w:rPr>
          <w:rFonts w:ascii="Cambria" w:hAnsi="Cambria"/>
          <w:b/>
          <w:color w:val="1A2733"/>
          <w:sz w:val="26"/>
        </w:rPr>
        <w:t>Волна 2 — КХД / ESB</w:t>
      </w:r>
    </w:p>
    <w:p>
      <w:pPr>
        <w:spacing w:after="40"/>
      </w:pPr>
      <w:r>
        <w:rPr>
          <w:b/>
          <w:color w:val="0A5F67"/>
          <w:sz w:val="18"/>
        </w:rPr>
        <w:t xml:space="preserve">Вопрос — цель волны:  </w:t>
      </w:r>
      <w:r>
        <w:rPr>
          <w:i/>
          <w:color w:val="1A2733"/>
          <w:sz w:val="21"/>
        </w:rPr>
        <w:t>Какую бизнес-задачу решает расширение ESB/КХД? Что станет возможным, чего нет сейчас?</w:t>
      </w:r>
    </w:p>
    <w:p>
      <w:pPr>
        <w:pStyle w:val="ListBullet"/>
        <w:spacing w:after="20"/>
      </w:pPr>
      <w:r>
        <w:rPr>
          <w:color w:val="5B6B7A"/>
          <w:sz w:val="20"/>
        </w:rPr>
        <w:t>Витрины: список, владельцы на стороне Д8, точное число сверх 4</w:t>
      </w:r>
    </w:p>
    <w:p>
      <w:pPr>
        <w:pStyle w:val="ListBullet"/>
        <w:spacing w:after="20"/>
      </w:pPr>
      <w:r>
        <w:rPr>
          <w:color w:val="5B6B7A"/>
          <w:sz w:val="20"/>
        </w:rPr>
        <w:t>API шины: система-источник, формат, ответственный</w:t>
      </w:r>
    </w:p>
    <w:p>
      <w:pPr>
        <w:pStyle w:val="ListBullet"/>
        <w:spacing w:after="20"/>
      </w:pPr>
      <w:r>
        <w:rPr>
          <w:color w:val="5B6B7A"/>
          <w:sz w:val="20"/>
        </w:rPr>
        <w:t>КХД: периметр хранилища; пользователи и роли волны</w:t>
      </w:r>
    </w:p>
    <w:p>
      <w:pPr>
        <w:spacing w:after="80"/>
      </w:pPr>
      <w:r>
        <w:rPr>
          <w:b/>
          <w:color w:val="C97A1A"/>
          <w:sz w:val="18"/>
        </w:rPr>
        <w:t xml:space="preserve">Вопрос — критерий достижения:  </w:t>
      </w:r>
      <w:r>
        <w:rPr>
          <w:color w:val="1A2733"/>
          <w:sz w:val="21"/>
        </w:rPr>
        <w:t>По какому набору проверок/сценариев вы примете волну 2 как завершённую?</w:t>
      </w:r>
    </w:p>
    <w:p>
      <w:pPr>
        <w:spacing w:before="200" w:after="20"/>
      </w:pPr>
      <w:r>
        <w:rPr>
          <w:b/>
          <w:color w:val="C97A1A"/>
          <w:sz w:val="17"/>
        </w:rPr>
        <w:t xml:space="preserve">ОТКРЫТО  </w:t>
      </w:r>
      <w:r>
        <w:rPr>
          <w:rFonts w:ascii="Cambria" w:hAnsi="Cambria"/>
          <w:b/>
          <w:color w:val="1A2733"/>
          <w:sz w:val="26"/>
        </w:rPr>
        <w:t>Волна 3+ — направление не определено</w:t>
      </w:r>
    </w:p>
    <w:p>
      <w:pPr>
        <w:spacing w:after="40"/>
      </w:pPr>
      <w:r>
        <w:rPr>
          <w:b/>
          <w:color w:val="0A5F67"/>
          <w:sz w:val="18"/>
        </w:rPr>
        <w:t xml:space="preserve">Вопрос — цель волны:  </w:t>
      </w:r>
      <w:r>
        <w:rPr>
          <w:i/>
          <w:color w:val="1A2733"/>
          <w:sz w:val="21"/>
        </w:rPr>
        <w:t>Когда направление определится — какая бизнес-цель будет стоять за волной 3+?</w:t>
      </w:r>
    </w:p>
    <w:p>
      <w:pPr>
        <w:pStyle w:val="ListBullet"/>
        <w:spacing w:after="20"/>
      </w:pPr>
      <w:r>
        <w:rPr>
          <w:color w:val="5B6B7A"/>
          <w:sz w:val="20"/>
        </w:rPr>
        <w:t>Кандидаты: роли, динамические права, новые источники</w:t>
      </w:r>
    </w:p>
    <w:p>
      <w:pPr>
        <w:pStyle w:val="ListBullet"/>
        <w:spacing w:after="20"/>
      </w:pPr>
      <w:r>
        <w:rPr>
          <w:color w:val="5B6B7A"/>
          <w:sz w:val="20"/>
        </w:rPr>
        <w:t>Реальная оргструктура — факт, не гипотеза из мастер-ТЗ</w:t>
      </w:r>
    </w:p>
    <w:p>
      <w:pPr>
        <w:pStyle w:val="ListBullet"/>
        <w:spacing w:after="20"/>
      </w:pPr>
      <w:r>
        <w:rPr>
          <w:color w:val="5B6B7A"/>
          <w:sz w:val="20"/>
        </w:rPr>
        <w:t>Когда определится — тот же набор параметров, что у волн 1–2</w:t>
      </w:r>
    </w:p>
    <w:p>
      <w:pPr>
        <w:spacing w:after="80"/>
      </w:pPr>
      <w:r>
        <w:rPr>
          <w:b/>
          <w:color w:val="C97A1A"/>
          <w:sz w:val="18"/>
        </w:rPr>
        <w:t xml:space="preserve">Вопрос — критерий достижения:  </w:t>
      </w:r>
      <w:r>
        <w:rPr>
          <w:color w:val="1A2733"/>
          <w:sz w:val="21"/>
        </w:rPr>
        <w:t>Какими критериями вы будете руководствоваться при выборе направления?</w:t>
      </w:r>
    </w:p>
    <w:p>
      <w:pPr>
        <w:pStyle w:val="Heading1"/>
        <w:spacing w:before="280" w:after="80"/>
      </w:pPr>
      <w:r>
        <w:rPr>
          <w:rFonts w:ascii="Cambria" w:hAnsi="Cambria"/>
          <w:b/>
          <w:color w:val="1A2733"/>
          <w:sz w:val="36"/>
        </w:rPr>
        <w:t>2. Программа проекта</w:t>
      </w:r>
    </w:p>
    <w:p>
      <w:pPr>
        <w:spacing w:after="200"/>
      </w:pPr>
      <w:r>
        <w:rPr>
          <w:rFonts w:ascii="Calibri" w:hAnsi="Calibri"/>
          <w:i/>
          <w:color w:val="5B6B7A"/>
          <w:sz w:val="21"/>
        </w:rPr>
        <w:t>Сроки ориентировочные — без реального прецедента (Кейс 2 методики).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Этап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Содержание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Примерный срок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Статус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5F67"/>
                <w:sz w:val="20"/>
              </w:rPr>
              <w:t>П2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20"/>
              </w:rPr>
              <w:t>Целевая архитектура и карта волн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5B6B7A"/>
                <w:sz w:val="20"/>
              </w:rPr>
              <w:t>1–2 недели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B6B7A"/>
                <w:sz w:val="19"/>
              </w:rPr>
              <w:t>Не начато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5F67"/>
                <w:sz w:val="20"/>
              </w:rPr>
              <w:t>Волна 1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20"/>
              </w:rPr>
              <w:t>RAG-документы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5B6B7A"/>
                <w:sz w:val="20"/>
              </w:rPr>
              <w:t>≈2–4 недели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97A1A"/>
                <w:sz w:val="19"/>
              </w:rPr>
              <w:t>Ожидает уточнения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5F67"/>
                <w:sz w:val="20"/>
              </w:rPr>
              <w:t>Волна 2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20"/>
              </w:rPr>
              <w:t>Расширение КХД и ESB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5B6B7A"/>
                <w:sz w:val="20"/>
              </w:rPr>
              <w:t>≈4–6 недель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97A1A"/>
                <w:sz w:val="19"/>
              </w:rPr>
              <w:t>Ожидает уточнения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5F67"/>
                <w:sz w:val="20"/>
              </w:rPr>
              <w:t>Волна 3+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20"/>
              </w:rPr>
              <w:t>Не определено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5B6B7A"/>
                <w:sz w:val="20"/>
              </w:rPr>
              <w:t>Не определено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97A1A"/>
                <w:sz w:val="19"/>
              </w:rPr>
              <w:t>Открыто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5F67"/>
                <w:sz w:val="20"/>
              </w:rPr>
              <w:t>П4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20"/>
              </w:rPr>
              <w:t>Промышленная эксплуатация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5B6B7A"/>
                <w:sz w:val="20"/>
              </w:rPr>
              <w:t>После приёмки волны 2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B6B7A"/>
                <w:sz w:val="19"/>
              </w:rPr>
              <w:t>Не начато</w:t>
            </w:r>
          </w:p>
        </w:tc>
      </w:tr>
      <w:tr>
        <w:tc>
          <w:tcPr>
            <w:tcW w:type="dxa" w:w="124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A5F67"/>
                <w:sz w:val="20"/>
              </w:rPr>
              <w:t>П5</w:t>
            </w:r>
          </w:p>
        </w:tc>
        <w:tc>
          <w:tcPr>
            <w:tcW w:type="dxa" w:w="3855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20"/>
              </w:rPr>
              <w:t>Постоянные улучшения</w:t>
            </w:r>
          </w:p>
        </w:tc>
        <w:tc>
          <w:tcPr>
            <w:tcW w:type="dxa" w:w="204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5B6B7A"/>
                <w:sz w:val="20"/>
              </w:rPr>
              <w:t>Без формального конца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B6B7A"/>
                <w:sz w:val="19"/>
              </w:rPr>
              <w:t>Не начато</w:t>
            </w:r>
          </w:p>
        </w:tc>
      </w:tr>
    </w:tbl>
    <w:p>
      <w:pPr>
        <w:spacing w:before="120"/>
      </w:pPr>
      <w:r>
        <w:rPr>
          <w:i/>
          <w:color w:val="5B6B7A"/>
          <w:sz w:val="19"/>
        </w:rPr>
        <w:t>Волна 2 требует отдельного детального состава работ (см. раздел «Наши вопросы» → Волна 2) — срок 4–6 недель ориентировочен на весь объём расширения ESB/КХД.</w:t>
      </w:r>
    </w:p>
    <w:p>
      <w:pPr>
        <w:pStyle w:val="Heading1"/>
        <w:spacing w:before="280" w:after="80"/>
      </w:pPr>
      <w:r>
        <w:rPr>
          <w:rFonts w:ascii="Cambria" w:hAnsi="Cambria"/>
          <w:b/>
          <w:color w:val="1A2733"/>
          <w:sz w:val="36"/>
        </w:rPr>
        <w:t>3. Зафиксированные пожелания заказчика — реестр предложений</w:t>
      </w:r>
    </w:p>
    <w:p>
      <w:pPr>
        <w:spacing w:after="200"/>
      </w:pPr>
      <w:r>
        <w:rPr>
          <w:rFonts w:ascii="Calibri" w:hAnsi="Calibri"/>
          <w:i/>
          <w:color w:val="5B6B7A"/>
          <w:sz w:val="21"/>
        </w:rPr>
        <w:t>11 пунктов backlog платформы. 4 пункта требуют ответа от Д8 — остальные уже в плане платформы или решаются внутри команды.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Пункт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Приоритет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Реализация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Уточнение</w:t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19"/>
              </w:rPr>
              <w:t>Мультидоменная авторизация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0392B"/>
                <w:sz w:val="19"/>
              </w:rPr>
              <w:t>Критичный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4 квартал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8C99A6"/>
                <w:sz w:val="19"/>
              </w:rPr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19"/>
              </w:rPr>
              <w:t>Работа с MS Office 365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B6B7A"/>
                <w:sz w:val="19"/>
              </w:rPr>
              <w:t>Нормальный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4 квартал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8C99A6"/>
                <w:sz w:val="19"/>
              </w:rPr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19"/>
              </w:rPr>
              <w:t>Поддержка актуальной версии API (web search)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0392B"/>
                <w:sz w:val="19"/>
              </w:rPr>
              <w:t>Критичный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—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8C99A6"/>
                <w:sz w:val="19"/>
              </w:rPr>
              <w:t>Уточняем сами</w:t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19"/>
              </w:rPr>
              <w:t>Кастомизация выбора источников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B6B7A"/>
                <w:sz w:val="19"/>
              </w:rPr>
              <w:t>Нормальный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—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BF3E7"/>
          </w:tcPr>
          <w:p>
            <w:r/>
            <w:r>
              <w:rPr>
                <w:rFonts w:ascii="Calibri" w:hAnsi="Calibri"/>
                <w:b/>
                <w:i w:val="0"/>
                <w:color w:val="C97A1A"/>
                <w:sz w:val="19"/>
              </w:rPr>
              <w:t>Требуется от Д8</w:t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19"/>
              </w:rPr>
              <w:t>Замены в анонимизируемых данных — именованные правила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B6B7A"/>
                <w:sz w:val="19"/>
              </w:rPr>
              <w:t>Нормальный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4 квартал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8C99A6"/>
                <w:sz w:val="19"/>
              </w:rPr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19"/>
              </w:rPr>
              <w:t>Обновление данных в RAG через API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97A1A"/>
                <w:sz w:val="19"/>
              </w:rPr>
              <w:t>Высокий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4 квартал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8C99A6"/>
                <w:sz w:val="19"/>
              </w:rPr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19"/>
              </w:rPr>
              <w:t>Динамические права доступа через таблицы/API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97A1A"/>
                <w:sz w:val="19"/>
              </w:rPr>
              <w:t>Высокий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—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BF3E7"/>
          </w:tcPr>
          <w:p>
            <w:r/>
            <w:r>
              <w:rPr>
                <w:rFonts w:ascii="Calibri" w:hAnsi="Calibri"/>
                <w:b/>
                <w:i w:val="0"/>
                <w:color w:val="C97A1A"/>
                <w:sz w:val="19"/>
              </w:rPr>
              <w:t>Требуется от Д8</w:t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19"/>
              </w:rPr>
              <w:t>Работа с графиками (визуал)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B6B7A"/>
                <w:sz w:val="19"/>
              </w:rPr>
              <w:t>Нормальный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4 кв. — 1 кв. 2027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8C99A6"/>
                <w:sz w:val="19"/>
              </w:rPr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19"/>
              </w:rPr>
              <w:t>Персональные RAG-коллекции пользователей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B6B7A"/>
                <w:sz w:val="19"/>
              </w:rPr>
              <w:t>Нормальный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—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BF3E7"/>
          </w:tcPr>
          <w:p>
            <w:r/>
            <w:r>
              <w:rPr>
                <w:rFonts w:ascii="Calibri" w:hAnsi="Calibri"/>
                <w:b/>
                <w:i w:val="0"/>
                <w:color w:val="C97A1A"/>
                <w:sz w:val="19"/>
              </w:rPr>
              <w:t>Требуется от Д8</w:t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19"/>
              </w:rPr>
              <w:t>Пользовательская и админская документация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97A1A"/>
                <w:sz w:val="19"/>
              </w:rPr>
              <w:t>Высокий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4 квартал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8C99A6"/>
                <w:sz w:val="19"/>
              </w:rPr>
            </w:r>
          </w:p>
        </w:tc>
      </w:tr>
      <w:tr>
        <w:tc>
          <w:tcPr>
            <w:tcW w:type="dxa" w:w="396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1A2733"/>
                <w:sz w:val="19"/>
              </w:rPr>
              <w:t>Упрощение заведения пользователей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B6B7A"/>
                <w:sz w:val="19"/>
              </w:rPr>
              <w:t>Нормальный</w:t>
            </w:r>
          </w:p>
        </w:tc>
        <w:tc>
          <w:tcPr>
            <w:tcW w:type="dxa" w:w="158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—</w:t>
            </w:r>
          </w:p>
        </w:tc>
        <w:tc>
          <w:tcPr>
            <w:tcW w:type="dxa" w:w="1701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BF3E7"/>
          </w:tcPr>
          <w:p>
            <w:r/>
            <w:r>
              <w:rPr>
                <w:rFonts w:ascii="Calibri" w:hAnsi="Calibri"/>
                <w:b/>
                <w:i w:val="0"/>
                <w:color w:val="C97A1A"/>
                <w:sz w:val="19"/>
              </w:rPr>
              <w:t>Требуется от Д8</w:t>
            </w:r>
          </w:p>
        </w:tc>
      </w:tr>
    </w:tbl>
    <w:p>
      <w:pPr>
        <w:pStyle w:val="Heading1"/>
        <w:spacing w:before="280" w:after="80"/>
      </w:pPr>
      <w:r>
        <w:rPr>
          <w:rFonts w:ascii="Cambria" w:hAnsi="Cambria"/>
          <w:b/>
          <w:color w:val="1A2733"/>
          <w:sz w:val="36"/>
        </w:rPr>
        <w:t>4. Наши вопросы — по пожеланиям заказчика</w:t>
      </w:r>
    </w:p>
    <w:p>
      <w:pPr>
        <w:spacing w:after="200"/>
      </w:pPr>
      <w:r>
        <w:rPr>
          <w:rFonts w:ascii="Calibri" w:hAnsi="Calibri"/>
          <w:i/>
          <w:color w:val="5B6B7A"/>
          <w:sz w:val="21"/>
        </w:rPr>
        <w:t>Каждый вопрос закрывает один из 4 пунктов реестра, отмеченных «Требуется от Д8».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45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Категория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Приоритет</w:t>
            </w:r>
          </w:p>
        </w:tc>
        <w:tc>
          <w:tcPr>
            <w:tcW w:type="dxa" w:w="4932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Вопрос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1A2733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Пункт реестра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11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2733"/>
                <w:sz w:val="19"/>
              </w:rPr>
              <w:t>Доступ и роли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C97A1A"/>
                <w:sz w:val="18"/>
              </w:rPr>
              <w:t>Высокий</w:t>
            </w:r>
          </w:p>
        </w:tc>
        <w:tc>
          <w:tcPr>
            <w:tcW w:type="dxa" w:w="49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Права доступа через API — где они хранятся и администрируются: внутри платформы, или платформа лишь получает их из внешней системы и применяет? Если второе — какая система источник и как часто обновляется?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BF3E7"/>
          </w:tcPr>
          <w:p>
            <w:r/>
            <w:r>
              <w:rPr>
                <w:rFonts w:ascii="Calibri" w:hAnsi="Calibri"/>
                <w:b w:val="0"/>
                <w:i/>
                <w:color w:val="C97A1A"/>
                <w:sz w:val="18"/>
              </w:rPr>
              <w:t>Динамические права доступа через таблицы/API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14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2733"/>
                <w:sz w:val="19"/>
              </w:rPr>
              <w:t>Платформа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B6B7A"/>
                <w:sz w:val="18"/>
              </w:rPr>
              <w:t>Нормальный</w:t>
            </w:r>
          </w:p>
        </w:tc>
        <w:tc>
          <w:tcPr>
            <w:tcW w:type="dxa" w:w="49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Кастомизация выбора источников — что имеется в виду: (а) подключение/отключение целых каталогов данных внутри домена, или (б) выбор персоны/профиля с отдельным набором прав? Разный объём реализации.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BF3E7"/>
          </w:tcPr>
          <w:p>
            <w:r/>
            <w:r>
              <w:rPr>
                <w:rFonts w:ascii="Calibri" w:hAnsi="Calibri"/>
                <w:b w:val="0"/>
                <w:i/>
                <w:color w:val="C97A1A"/>
                <w:sz w:val="18"/>
              </w:rPr>
              <w:t>Кастомизация выбора источников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15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2733"/>
                <w:sz w:val="19"/>
              </w:rPr>
              <w:t>Платформа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B6B7A"/>
                <w:sz w:val="18"/>
              </w:rPr>
              <w:t>Нормальный</w:t>
            </w:r>
          </w:p>
        </w:tc>
        <w:tc>
          <w:tcPr>
            <w:tcW w:type="dxa" w:w="49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Персональные RAG-коллекции — механика: фильтр по документам внутри существующей коллекции, или отдельная новая коллекция, которую пользователь создаёт и наполняет сам?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BF3E7"/>
          </w:tcPr>
          <w:p>
            <w:r/>
            <w:r>
              <w:rPr>
                <w:rFonts w:ascii="Calibri" w:hAnsi="Calibri"/>
                <w:b w:val="0"/>
                <w:i/>
                <w:color w:val="C97A1A"/>
                <w:sz w:val="18"/>
              </w:rPr>
              <w:t>Персональные RAG-коллекции пользователей</w:t>
            </w:r>
          </w:p>
        </w:tc>
      </w:tr>
      <w:tr>
        <w:tc>
          <w:tcPr>
            <w:tcW w:type="dxa" w:w="45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16</w:t>
            </w:r>
          </w:p>
        </w:tc>
        <w:tc>
          <w:tcPr>
            <w:tcW w:type="dxa" w:w="147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1A2733"/>
                <w:sz w:val="19"/>
              </w:rPr>
              <w:t>Платформа</w:t>
            </w:r>
          </w:p>
        </w:tc>
        <w:tc>
          <w:tcPr>
            <w:tcW w:type="dxa" w:w="1134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B6B7A"/>
                <w:sz w:val="18"/>
              </w:rPr>
              <w:t>Нормальный</w:t>
            </w:r>
          </w:p>
        </w:tc>
        <w:tc>
          <w:tcPr>
            <w:tcW w:type="dxa" w:w="4932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r/>
            <w:r>
              <w:rPr>
                <w:rFonts w:ascii="Calibri" w:hAnsi="Calibri"/>
                <w:b w:val="0"/>
                <w:i w:val="0"/>
                <w:color w:val="5B6B7A"/>
                <w:sz w:val="19"/>
              </w:rPr>
              <w:t>Упрощение заведения пользователей — нужен конкретный кейс: как должен выглядеть процесс пошагово (кто инициирует, какие поля, кто подтверждает).</w:t>
            </w:r>
          </w:p>
        </w:tc>
        <w:tc>
          <w:tcPr>
            <w:tcW w:type="dxa" w:w="1928"/>
            <w:tcMar>
              <w:top w:w="40" w:type="dxa"/>
              <w:bottom w:w="40" w:type="dxa"/>
              <w:start w:w="80" w:type="dxa"/>
              <w:end w:w="80" w:type="dxa"/>
            </w:tcMar>
            <w:shd w:val="clear" w:color="auto" w:fill="FBF3E7"/>
          </w:tcPr>
          <w:p>
            <w:r/>
            <w:r>
              <w:rPr>
                <w:rFonts w:ascii="Calibri" w:hAnsi="Calibri"/>
                <w:b w:val="0"/>
                <w:i/>
                <w:color w:val="C97A1A"/>
                <w:sz w:val="18"/>
              </w:rPr>
              <w:t>Упрощение заведения пользователей</w:t>
            </w:r>
          </w:p>
        </w:tc>
      </w:tr>
    </w:tbl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7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