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4181F"/>
          <w:sz w:val="32"/>
          <w:szCs w:val="32"/>
        </w:rPr>
        <w:t xml:space="preserve">Пример маскирования: отчёт брокера</w:t>
      </w:r>
    </w:p>
    <w:p>
      <w:pPr>
        <w:spacing w:after="2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АО «Инвестиционная компания Д8» — практический пример на самом распространённом документе</w:t>
      </w:r>
    </w:p>
    <w:p>
      <w:pPr>
        <w:spacing w:after="14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Отчёт брокера — документ, который чаще всего встречается в работе с клиентами. Ниже показано, как он выглядит до обработки, какой вариант маскирования мы рассмотрели и отклонили, и какая схема используется в итоге.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4181F"/>
          <w:sz w:val="25"/>
          <w:szCs w:val="25"/>
        </w:rPr>
        <w:t xml:space="preserve">1. Исходный документ</w:t>
      </w:r>
    </w:p>
    <w:p>
      <w:pPr>
        <w:spacing w:after="14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Так выглядит отчёт брокера без какой-либо обработки.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4181F"/>
                <w:sz w:val="19"/>
                <w:szCs w:val="19"/>
              </w:rPr>
              <w:t xml:space="preserve">Поле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4181F"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Клиент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Ожигихин Юрий Юрьевич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Договор №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ВР33431 от 24.09.2019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Брокерский счёт / лицевой счёт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ВР33431 / ВР33431-МО-01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Баланс счёта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16 634,88 → 16 623,07 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Портфель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ОФЗ-ПД225 (RU000A0ZYUB7) — 1 шт; ВТБ ПАО ао07 (RU000A0JP5V6) — 13 шт; Сбербанк ПАО ао03 (RU0009029540) — 6 шт; паи БПИФ — 1 шт; USD — 4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Подписи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Корчагин В.В., Губарева С.А.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Брокер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АО «Инвестиционная компания Д8», лицензия № 045-0751…, г. Москва, Пресненский р-н</w:t>
            </w:r>
          </w:p>
        </w:tc>
      </w:tr>
    </w:tbl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4181F"/>
          <w:sz w:val="25"/>
          <w:szCs w:val="25"/>
        </w:rPr>
        <w:t xml:space="preserve">2. Вариант 1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Исходные данные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отчёт брокера — см. раздел 1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Маскируем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ФИО клиента, название компании</w:t>
            </w:r>
          </w:p>
        </w:tc>
      </w:tr>
    </w:tbl>
    <w:p>
      <w:pPr>
        <w:spacing w:after="140" w:line="30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Вывод:</w:t>
      </w:r>
    </w:p>
    <w:p>
      <w:pPr>
        <w:spacing w:after="14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Не защищает данные. Номер договора и точный состав портфеля сами по себе позволяют определить, о каком клиенте идёт речь, даже без имени: сочетание конкретных бумаг, их количества и остатка на конкретную дату — редкое и легко узнаваемое. Номер лицензии брокера, если он остаётся открытым, также позволяет установить компанию — он находится в открытом реестре Банка России — независимо от того, скрыто название компании в тексте или нет.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4181F"/>
          <w:sz w:val="25"/>
          <w:szCs w:val="25"/>
        </w:rPr>
        <w:t xml:space="preserve">3. Вариант 2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Исходные данные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тот же отчёт брокера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Маскируем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ФИО клиента и сотрудников, номер договора/счетов, название/лицензию/адрес брокера</w:t>
            </w:r>
          </w:p>
        </w:tc>
      </w:tr>
    </w:tbl>
    <w:p>
      <w:pPr>
        <w:spacing w:after="14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Что происходит с каждым полем: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00"/>
      </w:tblGrid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4181F"/>
                <w:sz w:val="19"/>
                <w:szCs w:val="19"/>
              </w:rPr>
              <w:t xml:space="preserve">Поле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4181F"/>
                <w:sz w:val="19"/>
                <w:szCs w:val="19"/>
              </w:rPr>
              <w:t xml:space="preserve">Что происходит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Клиент (ФИО)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Скрывается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Подписи сотрудников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Скрывается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Номер договора, брокерский и лицевой счёт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Скрывается — заменяется меткой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Название, лицензия и адрес брокера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Скрывается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Баланс счёта и состав портфеля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Не скрывается — нужен для анализа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Код ценной бумаги (ISIN)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Не скрывается — общедоступный биржевой код, к клиенту или компании не привязан</w:t>
            </w:r>
          </w:p>
        </w:tc>
      </w:tr>
    </w:tbl>
    <w:p>
      <w:pPr>
        <w:spacing w:after="14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Как определяется каждое поле: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4181F"/>
                <w:sz w:val="19"/>
                <w:szCs w:val="19"/>
              </w:rPr>
              <w:t xml:space="preserve">Поле</w:t>
            </w:r>
          </w:p>
        </w:tc>
        <w:tc>
          <w:tcPr>
            <w:tcW w:type="dxa" w:w="5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4181F"/>
                <w:sz w:val="19"/>
                <w:szCs w:val="19"/>
              </w:rPr>
              <w:t xml:space="preserve">Как определяется</w:t>
            </w:r>
          </w:p>
        </w:tc>
      </w:tr>
      <w:t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ФИО клиента и сотрудников</w:t>
            </w:r>
          </w:p>
        </w:tc>
        <w:tc>
          <w:tcPr>
            <w:tcW w:type="dxa" w:w="5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По ключевым словам рядом с именем («Клиент:», подпись в конце документа) и по общему контексту фразы — так же, как в тексте распознаётся любое упоминание имени человека</w:t>
            </w:r>
          </w:p>
        </w:tc>
      </w:tr>
      <w:t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Номер договора, брокерский и лицевой счёт</w:t>
            </w:r>
          </w:p>
        </w:tc>
        <w:tc>
          <w:tcPr>
            <w:tcW w:type="dxa" w:w="5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По формату записи — сочетанию букв и цифр, характерному для номеров счетов и договоров Общества</w:t>
            </w:r>
          </w:p>
        </w:tc>
      </w:tr>
      <w:t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Название компании</w:t>
            </w:r>
          </w:p>
        </w:tc>
        <w:tc>
          <w:tcPr>
            <w:tcW w:type="dxa" w:w="5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Отдельно от других названий в документе (например, от названий ценных бумаг) — по справочнику собственного юридического лица заказчика, а не по общему правилу «любая организация»</w:t>
            </w:r>
          </w:p>
        </w:tc>
      </w:tr>
      <w:tr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Номер лицензии и адрес брокера</w:t>
            </w:r>
          </w:p>
        </w:tc>
        <w:tc>
          <w:tcPr>
            <w:tcW w:type="dxa" w:w="5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По формату записи, тем же способом, что и номер договора</w:t>
            </w:r>
          </w:p>
        </w:tc>
      </w:tr>
    </w:tbl>
    <w:p>
      <w:pPr>
        <w:spacing w:after="140" w:line="30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Вывод:</w:t>
      </w:r>
    </w:p>
    <w:p>
      <w:pPr>
        <w:spacing w:after="14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Защищено 7 из 8 полей, аналитическая ценность сохранена — баланс и состав портфеля остаются в исходном виде для анализа.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4181F"/>
          <w:sz w:val="25"/>
          <w:szCs w:val="25"/>
        </w:rPr>
        <w:t xml:space="preserve">4. Как это применяется</w:t>
      </w:r>
    </w:p>
    <w:p>
      <w:pPr>
        <w:spacing w:after="14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Баланс счёта и состав портфеля намеренно не скрываются — эти данные нужны для анализа в исходном виде. Поэтому решение — не в том, что скрывать в самом документе, а в том, куда документ может уходить.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00"/>
      </w:tblGrid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4181F"/>
                <w:sz w:val="19"/>
                <w:szCs w:val="19"/>
              </w:rPr>
              <w:t xml:space="preserve">Канал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4181F"/>
                <w:sz w:val="19"/>
                <w:szCs w:val="19"/>
              </w:rPr>
              <w:t xml:space="preserve">Что происходит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Внутренняя система (данные не покидают периметр)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Документ используется полностью, без ограничений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Внешние ИИ-сервисы (например, OpenAI, Anthropic)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Используется только после маскирования по схеме выше; если документ одновременно содержит номер счёта и таблицу портфеля — не передаётся вообще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2026-08-16T10:36:25.435Z</dcterms:created>
  <dcterms:modified xsi:type="dcterms:W3CDTF">2026-08-16T10:36:25.448Z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