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«Синапс.Инсайт» для ретейла</w:t>
      </w:r>
    </w:p>
    <w:p>
      <w:pPr>
        <w:spacing w:after="200"/>
        <w:jc w:val="center"/>
      </w:pPr>
      <w:r>
        <w:rPr>
          <w:i/>
          <w:iCs/>
          <w:sz w:val="26"/>
          <w:szCs w:val="26"/>
        </w:rPr>
        <w:t xml:space="preserve">Вопросы и ответы — демонстрация на кейсе «ТоргЛайн»</w:t>
      </w:r>
    </w:p>
    <w:p>
      <w:pPr>
        <w:spacing w:after="800"/>
        <w:jc w:val="center"/>
      </w:pPr>
      <w:r>
        <w:rPr>
          <w:color w:val="666666"/>
          <w:sz w:val="20"/>
          <w:szCs w:val="20"/>
        </w:rPr>
        <w:t xml:space="preserve">Сопроводительный документ к презентации retail-qa-presentation.pptx</w:t>
      </w:r>
    </w:p>
    <w:p>
      <w:pPr>
        <w:pStyle w:val="Heading1"/>
        <w:spacing w:after="200" w:before="120"/>
      </w:pPr>
      <w:r>
        <w:t xml:space="preserve">О документе</w:t>
      </w:r>
    </w:p>
    <w:p>
      <w:pPr>
        <w:spacing w:after="120"/>
        <w:jc w:val="both"/>
      </w:pPr>
      <w:r>
        <w:t xml:space="preserve">Этот документ — текстовый спутник презентации «Синапс.Инсайт для ретейла — вопросы и ответы»: полный текст вопросов и ожидаемых ответов по всем 8 демонстрационным сценариям, без сокращений слайдов. Удобен как справка докладчика во время презентации и как самостоятельный материал для рассылки клиенту.</w:t>
      </w:r>
    </w:p>
    <w:p>
      <w:pPr>
        <w:spacing w:after="120"/>
        <w:jc w:val="both"/>
      </w:pPr>
      <w:r>
        <w:t xml:space="preserve">Фиктивная сеть для демонстрации — «ТоргЛайн»: розничные магазины (продукты питания и непродовольственные товары), несколько регионов, собственная программа лояльности. Сама демонстрация проходит в живом чате платформы: агент отвечает по реально загруженным документам, а не по заготовленному тексту — приведённые ответы это ожидаемый результат по данным, заложенным в пакет документов.</w:t>
      </w:r>
    </w:p>
    <w:p>
      <w:pPr>
        <w:spacing w:after="120"/>
        <w:jc w:val="both"/>
      </w:pPr>
      <w:r>
        <w:t xml:space="preserve">Полный пакет документов (15 файлов Word/Excel) и пошаговый runbook — в docs/demo-retail/dataset/README.md.</w:t>
      </w:r>
    </w:p>
    <w:p>
      <w:r>
        <w:br w:type="page"/>
      </w:r>
    </w:p>
    <w:p>
      <w:pPr>
        <w:pStyle w:val="Heading1"/>
        <w:spacing w:after="200" w:before="120"/>
      </w:pPr>
      <w:r>
        <w:t xml:space="preserve">Сценарий 1. Бриф перед встречей с поставщиком</w:t>
      </w:r>
    </w:p>
    <w:p>
      <w:pPr>
        <w:spacing w:after="200"/>
      </w:pPr>
      <w:r>
        <w:rPr>
          <w:b/>
          <w:bCs/>
        </w:rPr>
        <w:t xml:space="preserve">Персона: </w:t>
      </w:r>
      <w:r>
        <w:rPr>
          <w:i/>
          <w:iCs/>
        </w:rPr>
        <w:t xml:space="preserve">Категорийный менеджер</w:t>
      </w:r>
    </w:p>
    <w:p>
      <w:pPr>
        <w:pStyle w:val="Heading2"/>
        <w:spacing w:after="120" w:before="240"/>
      </w:pPr>
      <w:r>
        <w:t xml:space="preserve">Вопросы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Дай карточку поставщика «ФрешПродукт»: условия контракта, категория товаров, срок действия, штрафные условия.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Покажи динамику продаж и маржи по его SKU за 2 квартал 2026, выдели просадку.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Были ли претензии или штрафы за последние 6 месяцев?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Собери итоговый бриф к переговорам: условия контракта, динамика продаж/маржи, штрафы, рекомендация по пересмотру условий.</w:t>
      </w:r>
    </w:p>
    <w:p>
      <w:pPr>
        <w:pStyle w:val="Heading2"/>
        <w:spacing w:after="120" w:before="240"/>
      </w:pPr>
      <w:r>
        <w:t xml:space="preserve">Ожидаемый ответ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Категория «Fresh», срок действия 15.01.2025–31.12.2026, отсрочка платежа 21 день, неустойка 0,1% в день за просрочку, право на пересмотр условий при 3+ нарушениях за квартал.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Просадка по SKU FR-1001 (томаты грунтовые) в мае: продажи упали с 12 500 до 6 800 шт., маржа просела пропорционально; в июне — восстановление до 11 900 шт.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 инцидента за 2 квартал 2026, неустойки на 43 300 руб., компенсации на 83 600 руб., последнее — уведомление о пересмотре условий (03.06.2026).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Итоговый бриф должен объединить все три предыдущих ответа без потери уже подтверждённых данных — это и есть проверяемый момент: способен ли агент переиспользовать контекст сессии, а не терять его при финальном синтезе (тот же класс дефекта, что был найден в Кейсе 01 на реальном диалоге D8-014).</w:t>
      </w:r>
    </w:p>
    <w:p>
      <w:pPr>
        <w:spacing w:after="240" w:before="160"/>
      </w:pPr>
      <w:r>
        <w:rPr>
          <w:b/>
          <w:bCs/>
        </w:rPr>
        <w:t xml:space="preserve">Демонстрирует: </w:t>
      </w:r>
      <w:r>
        <w:t xml:space="preserve">многошаговый синтез, text-to-SQL, работа с шаблонами ответов.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120"/>
      </w:pPr>
      <w:r>
        <w:t xml:space="preserve">Сценарий 2. Разграничение доступа по ролям</w:t>
      </w:r>
    </w:p>
    <w:p>
      <w:pPr>
        <w:spacing w:after="200"/>
      </w:pPr>
      <w:r>
        <w:rPr>
          <w:b/>
          <w:bCs/>
        </w:rPr>
        <w:t xml:space="preserve">Персона: </w:t>
      </w:r>
      <w:r>
        <w:rPr>
          <w:i/>
          <w:iCs/>
        </w:rPr>
        <w:t xml:space="preserve">Директор магазина / региональный директор / финансист HQ — один и тот же вопрос от трёх ролей</w:t>
      </w:r>
    </w:p>
    <w:p>
      <w:pPr>
        <w:spacing w:after="200"/>
      </w:pPr>
      <w:r>
        <w:rPr>
          <w:b/>
          <w:bCs/>
        </w:rPr>
        <w:t xml:space="preserve">Вопрос (задаётся от лица каждой из трёх ролей): </w:t>
      </w:r>
      <w:r>
        <w:rPr>
          <w:i/>
          <w:iCs/>
        </w:rPr>
        <w:t xml:space="preserve">«Покажи выручку и маржу по магазинам»</w:t>
      </w:r>
    </w:p>
    <w:p>
      <w:pPr>
        <w:pStyle w:val="Heading2"/>
        <w:spacing w:after="120" w:before="240"/>
      </w:pPr>
      <w:r>
        <w:t xml:space="preserve">Ожидаемый ответ — по ролям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rPr>
          <w:tblHeader/>
        </w:trPr>
        <w:tc>
          <w:tcPr>
            <w:tcW w:type="dxa" w:w="289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Роль</w:t>
            </w:r>
          </w:p>
        </w:tc>
        <w:tc>
          <w:tcPr>
            <w:tcW w:type="dxa" w:w="674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Что видно в ответе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Директор магазина №14</w:t>
            </w:r>
          </w:p>
        </w:tc>
        <w:tc>
          <w:tcPr>
            <w:tcW w:type="dxa" w:w="6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Только строка своего магазина, без колонок закупочной стоимости и маржи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Региональный директор (Центральный)</w:t>
            </w:r>
          </w:p>
        </w:tc>
        <w:tc>
          <w:tcPr>
            <w:tcW w:type="dxa" w:w="6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Магазины №14 и №22, маржа видна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Финансист HQ</w:t>
            </w:r>
          </w:p>
        </w:tc>
        <w:tc>
          <w:tcPr>
            <w:tcW w:type="dxa" w:w="6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Все 6 магазинов, все колонки, включая закупочные цены</w:t>
            </w:r>
          </w:p>
        </w:tc>
      </w:tr>
    </w:tbl>
    <w:p>
      <w:pPr>
        <w:spacing w:after="240" w:before="160"/>
      </w:pPr>
      <w:r>
        <w:rPr>
          <w:b/>
          <w:bCs/>
        </w:rPr>
        <w:t xml:space="preserve">Демонстрирует: </w:t>
      </w:r>
      <w:r>
        <w:t xml:space="preserve">«Граф доступа» — row-фильтры и маски по персонам; в исходном ТЗ это было заявлено как опционально для v2, но фактически уже есть в платформе как реальный механизм.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120"/>
      </w:pPr>
      <w:r>
        <w:t xml:space="preserve">Сценарий 3. Контроль остатков по акции</w:t>
      </w:r>
    </w:p>
    <w:p>
      <w:pPr>
        <w:spacing w:after="200"/>
      </w:pPr>
      <w:r>
        <w:rPr>
          <w:b/>
          <w:bCs/>
        </w:rPr>
        <w:t xml:space="preserve">Персона: </w:t>
      </w:r>
      <w:r>
        <w:rPr>
          <w:i/>
          <w:iCs/>
        </w:rPr>
        <w:t xml:space="preserve">Региональный операционный менеджер</w:t>
      </w:r>
    </w:p>
    <w:p>
      <w:pPr>
        <w:pStyle w:val="Heading2"/>
        <w:spacing w:after="120" w:before="240"/>
      </w:pPr>
      <w:r>
        <w:t xml:space="preserve">Вопросы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Какие сейчас идут акции и по каким товарам?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Покажи магазины, где остаток по топ-20 SKU текущей акции ниже 3 дней продаж.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Сформируй список для догрузки по приоритету — сначала магазины с наибольшим оборотом.</w:t>
      </w:r>
    </w:p>
    <w:p>
      <w:pPr>
        <w:pStyle w:val="Heading2"/>
        <w:spacing w:after="120" w:before="240"/>
      </w:pPr>
      <w:r>
        <w:t xml:space="preserve">Ожидаемый ответ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«Дачный сезон», 15.07–15.08.2026, категория CAT-NEW-BBQ.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Низкий остаток (пересчитано и проверено SQL-запросом): магазин №14 (BBQ-1002, BBQ-1003, BBQ-1006), №22 (BBQ-1001, BBQ-1003, BBQ-1004), №31 (BBQ-1002, BBQ-1003), №08 (все 6 SKU: BBQ-1001, 1002, 1003, 1004, 1006, 1008), №19 (BBQ-1001, BBQ-1002, BBQ-1003, BBQ-1004), №27 (все 6 SKU: BBQ-1001, 1002, 1003, 1004, 1006, 1008).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Приоритет догрузки по выручке: №31 → №14 → №22 → №19 → №27 → №08.</w:t>
      </w:r>
    </w:p>
    <w:p>
      <w:pPr>
        <w:spacing w:after="240" w:before="160"/>
      </w:pPr>
      <w:r>
        <w:rPr>
          <w:b/>
          <w:bCs/>
        </w:rPr>
        <w:t xml:space="preserve">Демонстрирует: </w:t>
      </w:r>
      <w:r>
        <w:t xml:space="preserve">роутинг «Data-вопросы» → SQL-агрегация по таблице остатков; естественный мостик к тому, как то же самое можно превратить в проактивный алерт, не дожидаясь вопроса менеджера.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120"/>
      </w:pPr>
      <w:r>
        <w:t xml:space="preserve">Сценарий 4. Онбординг продавца-консультанта</w:t>
      </w:r>
    </w:p>
    <w:p>
      <w:pPr>
        <w:spacing w:after="200"/>
      </w:pPr>
      <w:r>
        <w:rPr>
          <w:b/>
          <w:bCs/>
        </w:rPr>
        <w:t xml:space="preserve">Персона: </w:t>
      </w:r>
      <w:r>
        <w:rPr>
          <w:i/>
          <w:iCs/>
        </w:rPr>
        <w:t xml:space="preserve">Новый сотрудник магазина, первая неделя работы</w:t>
      </w:r>
    </w:p>
    <w:p>
      <w:pPr>
        <w:pStyle w:val="Heading2"/>
        <w:spacing w:after="120" w:before="240"/>
      </w:pPr>
      <w:r>
        <w:t xml:space="preserve">Вопросы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Как оформить возврат товара без чека?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Что делать, если сработала защитная бирка на выходе?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Какая скидка положена держателю карты лояльности уровня «Золото»?</w:t>
      </w:r>
    </w:p>
    <w:p>
      <w:pPr>
        <w:pStyle w:val="Heading2"/>
        <w:spacing w:after="120" w:before="240"/>
      </w:pPr>
      <w:r>
        <w:t xml:space="preserve">Ожидаемый ответ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 5 000 руб. — по документу, удостоверяющему личность, и заявлению; свыше — согласование с директором; при повреждённой заводской упаковке — отдельный регламент.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Пригласить к стойке, проверить чек и бирки; при расхождении — вызвать администратора/охрану, без применения силы.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Начисление 5% + дополнительные акции и приоритетная поддержка.</w:t>
      </w:r>
    </w:p>
    <w:p>
      <w:pPr>
        <w:spacing w:after="120"/>
        <w:jc w:val="both"/>
      </w:pPr>
      <w:r>
        <w:t xml:space="preserve">В общем индексе платформы намеренно присутствует посторонний технический контент (код кассового ПО, коммиты) — чтобы показать, что политики ранжирования не пропускают его в ответ обычному продавцу, даже если формально запрос «похож» на вопрос про кассу.</w:t>
      </w:r>
    </w:p>
    <w:p>
      <w:pPr>
        <w:spacing w:after="240" w:before="160"/>
      </w:pPr>
      <w:r>
        <w:rPr>
          <w:b/>
          <w:bCs/>
        </w:rPr>
        <w:t xml:space="preserve">Демонстрирует: </w:t>
      </w:r>
      <w:r>
        <w:t xml:space="preserve">промпты персон (стиль ответа под новичка), recall из «Мои шаблоны», политики ранжирования, отфильтровывающие технический шум.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120"/>
      </w:pPr>
      <w:r>
        <w:t xml:space="preserve">Сценарий 5. Обработка жалобы клиента</w:t>
      </w:r>
    </w:p>
    <w:p>
      <w:pPr>
        <w:spacing w:after="200"/>
      </w:pPr>
      <w:r>
        <w:rPr>
          <w:b/>
          <w:bCs/>
        </w:rPr>
        <w:t xml:space="preserve">Персона: </w:t>
      </w:r>
      <w:r>
        <w:rPr>
          <w:i/>
          <w:iCs/>
        </w:rPr>
        <w:t xml:space="preserve">Специалист службы поддержки</w:t>
      </w:r>
    </w:p>
    <w:p>
      <w:pPr>
        <w:pStyle w:val="Heading2"/>
        <w:spacing w:after="120" w:before="240"/>
      </w:pPr>
      <w:r>
        <w:t xml:space="preserve">Вопросы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Клиент Иванов И.И. жалуется, что не получил баллы за покупку от 12.07. Проверь начисления.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Какая политика возврата баллов при возврате товара?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Составь ответ клиенту с объяснением и, если применимо, компенсацией.</w:t>
      </w:r>
    </w:p>
    <w:p>
      <w:pPr>
        <w:pStyle w:val="Heading2"/>
        <w:spacing w:after="120" w:before="240"/>
      </w:pPr>
      <w:r>
        <w:t xml:space="preserve">Ожидаемый ответ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Покупка на 3 200 руб., начислено 160 баллов, зачислено 14.07.2026 — в пределах правила «начисление в течение 48 часов»; баллы фактически начислены, жалоба закрывается объяснением, а не компенсацией.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 возврате товара баллы списываются пропорционально возвращённой сумме.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Ответ клиенту синтезируется из истории покупок и текста политики лояльности в одном сообщении.</w:t>
      </w:r>
    </w:p>
    <w:p>
      <w:pPr>
        <w:spacing w:after="240" w:before="160"/>
      </w:pPr>
      <w:r>
        <w:rPr>
          <w:b/>
          <w:bCs/>
        </w:rPr>
        <w:t xml:space="preserve">Демонстрирует: </w:t>
      </w:r>
      <w:r>
        <w:t xml:space="preserve">объединение CRM-подобных данных (история покупок, баллы) с документами (политика лояльности) в одном ответе; маскирование персональных данных — специалист поддержки видит нужные для работы поля, но не видит, например, полный номер платёжной карты.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120"/>
      </w:pPr>
      <w:r>
        <w:t xml:space="preserve">Сценарий 6. Пополнение глоссария мерчандайзинга</w:t>
      </w:r>
    </w:p>
    <w:p>
      <w:pPr>
        <w:spacing w:after="200"/>
      </w:pPr>
      <w:r>
        <w:rPr>
          <w:b/>
          <w:bCs/>
        </w:rPr>
        <w:t xml:space="preserve">Персона: </w:t>
      </w:r>
      <w:r>
        <w:rPr>
          <w:i/>
          <w:iCs/>
        </w:rPr>
        <w:t xml:space="preserve">Категорийный менеджер в роли модератора очереди</w:t>
      </w:r>
    </w:p>
    <w:p>
      <w:pPr>
        <w:pStyle w:val="Heading2"/>
        <w:spacing w:after="120" w:before="240"/>
      </w:pPr>
      <w:r>
        <w:t xml:space="preserve">Ход сценария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Загружается новый документ (планограмма) с кодами категорий и акций, ещё не известными системе.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Система автоматически предлагает эти коды как кандидатов в глоссарий термина (тип glossary_term), с оценкой уверенности.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Категорийный менеджер заходит в «Задачи → Предложения», видит очередь, одобряет или отклоняет каждый кандидат.</w:t>
      </w:r>
    </w:p>
    <w:p>
      <w:pPr>
        <w:pStyle w:val="Heading2"/>
        <w:spacing w:after="120" w:before="240"/>
      </w:pPr>
      <w:r>
        <w:t xml:space="preserve">Ожидаемые кандидаты в очереди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CAT-NEW-ECO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ECO-BAG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ECO-HOME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ECO-TABLEWARE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PROMO-26-Q4-ECO</w:t>
      </w:r>
    </w:p>
    <w:p>
      <w:pPr>
        <w:spacing w:after="240" w:before="160"/>
      </w:pPr>
      <w:r>
        <w:rPr>
          <w:b/>
          <w:bCs/>
        </w:rPr>
        <w:t xml:space="preserve">Демонстрирует: </w:t>
      </w:r>
      <w:r>
        <w:t xml:space="preserve">конвейер human-in-the-loop модерации — система не просто ищет по документам, а расширяет свои же знания под присмотром человека, что особенно важно для быстро меняющегося ретейл-ассортимента.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120"/>
      </w:pPr>
      <w:r>
        <w:t xml:space="preserve">Сценарий 7. Шаблонный отчёт по акции</w:t>
      </w:r>
    </w:p>
    <w:p>
      <w:pPr>
        <w:spacing w:after="200"/>
      </w:pPr>
      <w:r>
        <w:rPr>
          <w:b/>
          <w:bCs/>
        </w:rPr>
        <w:t xml:space="preserve">Персона: </w:t>
      </w:r>
      <w:r>
        <w:rPr>
          <w:i/>
          <w:iCs/>
        </w:rPr>
        <w:t xml:space="preserve">Маркетинг-аналитик</w:t>
      </w:r>
    </w:p>
    <w:p>
      <w:pPr>
        <w:pStyle w:val="Heading2"/>
        <w:spacing w:after="120" w:before="240"/>
      </w:pPr>
      <w:r>
        <w:t xml:space="preserve">Ход сценария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Заводится шаблон: вопрос-триггер «эффективность акции [название]», образец ответа с графиком (прирост продаж, средний чек, охват), обычный (не строгий) режим.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Через месяц аналитик спрашивает про уже прошедшую акцию «Дачный сезон» — получает ответ той же структуры, но с пересчитанными по свежим данным цифрами и графиком.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Для сравнения — тот же вопрос со «строгим» шаблоном, где меняются только цифры, а формулировки остаются буквально теми же.</w:t>
      </w:r>
    </w:p>
    <w:p>
      <w:pPr>
        <w:pStyle w:val="Heading2"/>
        <w:spacing w:after="120" w:before="240"/>
      </w:pPr>
      <w:r>
        <w:t xml:space="preserve">Ожидаемый ответ на вопрос «Эффективность акции "Дачный сезон"?»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Выручка: 6 750 000 руб.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Средний чек: 1 890 руб.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Прирост продаж: 38% (цель была 35%).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Охват программы лояльности: 44% (цель была 40%) — акция превысила целевые показатели.</w:t>
      </w:r>
    </w:p>
    <w:p>
      <w:pPr>
        <w:spacing w:after="240" w:before="160"/>
      </w:pPr>
      <w:r>
        <w:rPr>
          <w:b/>
          <w:bCs/>
        </w:rPr>
        <w:t xml:space="preserve">Демонстрирует: </w:t>
      </w:r>
      <w:r>
        <w:t xml:space="preserve">«Мои шаблоны» — обычный режим (структура фиксирована, данные свежие) против строгого (текст фиксирован полностью) — наглядная разница на реальном примере с графиком.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120"/>
      </w:pPr>
      <w:r>
        <w:t xml:space="preserve">Сценарий 8. RAG vs Closed-book</w:t>
      </w:r>
    </w:p>
    <w:p>
      <w:pPr>
        <w:spacing w:after="200"/>
      </w:pPr>
      <w:r>
        <w:rPr>
          <w:b/>
          <w:bCs/>
        </w:rPr>
        <w:t xml:space="preserve">Персона: </w:t>
      </w:r>
      <w:r>
        <w:rPr>
          <w:i/>
          <w:iCs/>
        </w:rPr>
        <w:t xml:space="preserve">Менеджер по обучению, проверяющий качество ответов ИИ-агента перед раскаткой на всех сотрудников</w:t>
      </w:r>
    </w:p>
    <w:p>
      <w:pPr>
        <w:spacing w:after="200"/>
      </w:pPr>
      <w:r>
        <w:rPr>
          <w:b/>
          <w:bCs/>
        </w:rPr>
        <w:t xml:space="preserve">Вопрос (задаётся одновременно двум агентам): </w:t>
      </w:r>
      <w:r>
        <w:rPr>
          <w:i/>
          <w:iCs/>
        </w:rPr>
        <w:t xml:space="preserve">«Можно ли принять возврат товара с повреждённой заводской упаковкой, если у покупателя нет чека?»</w:t>
      </w:r>
    </w:p>
    <w:p>
      <w:pPr>
        <w:pStyle w:val="Heading2"/>
        <w:spacing w:after="120" w:before="240"/>
      </w:pPr>
      <w:r>
        <w:t xml:space="preserve">Ожидаемый ответ — по агентам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rPr>
          <w:tblHeader/>
        </w:trPr>
        <w:tc>
          <w:tcPr>
            <w:tcW w:type="dxa" w:w="289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Агент</w:t>
            </w:r>
          </w:p>
        </w:tc>
        <w:tc>
          <w:tcPr>
            <w:tcW w:type="dxa" w:w="674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Ответ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RAG-агент (доступ к документам компании)</w:t>
            </w:r>
          </w:p>
        </w:tc>
        <w:tc>
          <w:tcPr>
            <w:tcW w:type="dxa" w:w="6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Находит регламент нестандартных возвратов: да, при подтверждении покупки картой лояльности или выпиской — лимит 3 000 руб. без согласования, свыше — с директором. Ответ точный, со ссылкой на конкретный пункт документа.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Closed-book агент (только общие знания модели)</w:t>
            </w:r>
          </w:p>
        </w:tc>
        <w:tc>
          <w:tcPr>
            <w:tcW w:type="dxa" w:w="67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Не располагает внутренним регламентом компании — либо честно отказывается («не располагаю данными о внутреннем регламенте компании»), либо даёт общий, неточный ответ без ссылки на конкретное правило.</w:t>
            </w:r>
          </w:p>
        </w:tc>
      </w:tr>
    </w:tbl>
    <w:p>
      <w:pPr>
        <w:spacing w:after="240" w:before="160"/>
      </w:pPr>
      <w:r>
        <w:rPr>
          <w:b/>
          <w:bCs/>
        </w:rPr>
        <w:t xml:space="preserve">Демонстрирует: </w:t>
      </w:r>
      <w:r>
        <w:t xml:space="preserve">ценность retrieval через прямое сравнение — и заодно назначение агентов типа Closed-book RAG (эталон/сравнение, а не бесполезный дубликат).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120"/>
      </w:pPr>
      <w:r>
        <w:t xml:space="preserve">Что дальше</w:t>
      </w:r>
    </w:p>
    <w:p>
      <w:pPr>
        <w:spacing w:after="120"/>
        <w:jc w:val="both"/>
      </w:pPr>
      <w:r>
        <w:t xml:space="preserve">Все приведённые ответы — ожидаемый результат по данным, реально заложенным в 15 документов пакета «ТоргЛайн» (docs/demo-retail/dataset/). Демонстрация клиенту проходит в живом чате платформы: файлы загружаются как источники, а дальше — реальные ответы агента, а не показанный здесь текст. Если платформа отвечает иначе, чем указано выше, это тоже показательно — повод обсудить с командой платформы.</w:t>
      </w:r>
    </w:p>
    <w:p>
      <w:pPr>
        <w:spacing w:after="120"/>
        <w:jc w:val="both"/>
      </w:pPr>
      <w:r>
        <w:t xml:space="preserve">Полный пошаговый runbook (что и в какую коллекцию загружать, настройка ролей для сценария 2, порядок демонстрации) — docs/demo-retail/dataset/README.md.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2026-07-24T18:33:55.232Z</dcterms:created>
  <dcterms:modified xsi:type="dcterms:W3CDTF">2026-07-24T18:33:55.232Z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