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733"/>
          <w:sz w:val="40"/>
        </w:rPr>
        <w:t>ПРОТОКОЛ ТЕСТИРОВАНИЯ</w:t>
      </w:r>
    </w:p>
    <w:p>
      <w:pPr>
        <w:spacing w:after="200"/>
      </w:pPr>
      <w:r>
        <w:rPr>
          <w:i/>
          <w:color w:val="5B6B7A"/>
          <w:sz w:val="24"/>
        </w:rPr>
        <w:t>Коллекция «ЭКО» — платформа «Камерата»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F4F6F7"/>
          </w:tcPr>
          <w:p>
            <w:r/>
            <w:r>
              <w:rPr>
                <w:b/>
                <w:color w:val="1A2733"/>
                <w:sz w:val="21"/>
              </w:rPr>
              <w:t>Дата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21"/>
              </w:rPr>
              <w:t>15 сентября 2026 г.</w:t>
            </w:r>
          </w:p>
        </w:tc>
      </w:tr>
      <w:tr>
        <w:tc>
          <w:tcPr>
            <w:tcW w:type="dxa" w:w="2154"/>
            <w:shd w:val="clear" w:color="auto" w:fill="F4F6F7"/>
          </w:tcPr>
          <w:p>
            <w:r/>
            <w:r>
              <w:rPr>
                <w:b/>
                <w:color w:val="1A2733"/>
                <w:sz w:val="21"/>
              </w:rPr>
              <w:t>Пользователь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21"/>
              </w:rPr>
              <w:t>eco_user</w:t>
            </w:r>
          </w:p>
        </w:tc>
      </w:tr>
      <w:tr>
        <w:tc>
          <w:tcPr>
            <w:tcW w:type="dxa" w:w="2154"/>
            <w:shd w:val="clear" w:color="auto" w:fill="F4F6F7"/>
          </w:tcPr>
          <w:p>
            <w:r/>
            <w:r>
              <w:rPr>
                <w:b/>
                <w:color w:val="1A2733"/>
                <w:sz w:val="21"/>
              </w:rPr>
              <w:t>Контур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21"/>
              </w:rPr>
              <w:t>защищённый — данные не покидают компанию</w:t>
            </w:r>
          </w:p>
        </w:tc>
      </w:tr>
      <w:tr>
        <w:tc>
          <w:tcPr>
            <w:tcW w:type="dxa" w:w="2154"/>
            <w:shd w:val="clear" w:color="auto" w:fill="F4F6F7"/>
          </w:tcPr>
          <w:p>
            <w:r/>
            <w:r>
              <w:rPr>
                <w:b/>
                <w:color w:val="1A2733"/>
                <w:sz w:val="21"/>
              </w:rPr>
              <w:t>Источники поиска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21"/>
              </w:rPr>
              <w:t>Документы → коллекция «ЭКО» (без «ЭКО_2», без «Данные (каталог и SQL)»)</w:t>
            </w:r>
          </w:p>
        </w:tc>
      </w:tr>
      <w:tr>
        <w:tc>
          <w:tcPr>
            <w:tcW w:type="dxa" w:w="2154"/>
            <w:shd w:val="clear" w:color="auto" w:fill="F4F6F7"/>
          </w:tcPr>
          <w:p>
            <w:r/>
            <w:r>
              <w:rPr>
                <w:b/>
                <w:color w:val="1A2733"/>
                <w:sz w:val="21"/>
              </w:rPr>
              <w:t>Модель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21"/>
              </w:rPr>
              <w:t>OpenAI / gpt-5.5</w:t>
            </w:r>
          </w:p>
        </w:tc>
      </w:tr>
    </w:tbl>
    <w:p/>
    <w:p>
      <w:pPr>
        <w:pStyle w:val="Heading2"/>
        <w:spacing w:before="280"/>
      </w:pPr>
      <w:r>
        <w:rPr>
          <w:color w:val="1A2733"/>
          <w:sz w:val="28"/>
        </w:rPr>
        <w:t>Ход тестирования</w:t>
      </w:r>
    </w:p>
    <w:p>
      <w:pPr>
        <w:spacing w:before="240" w:after="80"/>
      </w:pPr>
      <w:r>
        <w:rPr>
          <w:b/>
          <w:color w:val="0A5F67"/>
          <w:sz w:val="25"/>
        </w:rPr>
        <w:t xml:space="preserve">Шаг 1. </w:t>
      </w:r>
      <w:r>
        <w:rPr>
          <w:b/>
          <w:color w:val="1A2733"/>
          <w:sz w:val="25"/>
        </w:rPr>
        <w:t>Настройка источников поиска перед началом теста</w:t>
      </w:r>
    </w:p>
    <w:p>
      <w:pPr>
        <w:spacing w:after="60"/>
      </w:pPr>
      <w:r>
        <w:rPr>
          <w:b/>
          <w:color w:val="1A2733"/>
          <w:sz w:val="21"/>
        </w:rPr>
        <w:t xml:space="preserve">Действие: </w:t>
      </w:r>
      <w:r>
        <w:rPr>
          <w:color w:val="5B6B7A"/>
          <w:sz w:val="21"/>
        </w:rPr>
        <w:t>Открыт новый диалог под пользователем eco_user; проверена область поиска</w:t>
      </w:r>
    </w:p>
    <w:p>
      <w:pPr>
        <w:spacing w:after="60"/>
      </w:pPr>
      <w:r>
        <w:rPr>
          <w:b/>
          <w:color w:val="1A2733"/>
          <w:sz w:val="21"/>
        </w:rPr>
        <w:t xml:space="preserve">Источники: </w:t>
      </w:r>
      <w:r>
        <w:rPr>
          <w:color w:val="5B6B7A"/>
          <w:sz w:val="21"/>
        </w:rPr>
        <w:t>включена только коллекция «ЭКО» (документы); «ЭКО_2» и «Данные (каталог и SQL)» — выключены</w:t>
      </w:r>
    </w:p>
    <w:p>
      <w:pPr>
        <w:spacing w:after="60"/>
      </w:pPr>
      <w:r>
        <w:rPr>
          <w:b/>
          <w:color w:val="1A2733"/>
          <w:sz w:val="21"/>
        </w:rPr>
        <w:t xml:space="preserve">Наблюдение: </w:t>
      </w:r>
      <w:r>
        <w:rPr>
          <w:color w:val="5B6B7A"/>
          <w:sz w:val="21"/>
        </w:rPr>
        <w:t>запрос ещё не отправлялся — фиксируется исходное состояние перед тестом</w:t>
      </w:r>
    </w:p>
    <w:p>
      <w:pPr>
        <w:spacing w:before="240" w:after="80"/>
      </w:pPr>
      <w:r>
        <w:rPr>
          <w:b/>
          <w:color w:val="0A5F67"/>
          <w:sz w:val="25"/>
        </w:rPr>
        <w:t xml:space="preserve">Шаг 2. </w:t>
      </w:r>
      <w:r>
        <w:rPr>
          <w:b/>
          <w:color w:val="1A2733"/>
          <w:sz w:val="25"/>
        </w:rPr>
        <w:t>Тестовый запрос — роль «начальник склада», акт забраковки</w:t>
      </w:r>
    </w:p>
    <w:p>
      <w:pPr>
        <w:spacing w:after="60"/>
      </w:pPr>
      <w:r>
        <w:rPr>
          <w:b/>
          <w:color w:val="1A2733"/>
          <w:sz w:val="21"/>
        </w:rPr>
        <w:t xml:space="preserve">Вопрос: </w:t>
      </w:r>
      <w:r>
        <w:rPr>
          <w:color w:val="5B6B7A"/>
          <w:sz w:val="21"/>
        </w:rPr>
        <w:t>«Я начальник склада. Мне принесли акт забраковки. Что я должен сделать?»</w:t>
      </w:r>
    </w:p>
    <w:p>
      <w:pPr>
        <w:spacing w:after="60"/>
      </w:pPr>
      <w:r>
        <w:rPr>
          <w:b/>
          <w:color w:val="1A2733"/>
          <w:sz w:val="21"/>
        </w:rPr>
        <w:t xml:space="preserve">Время ответа: </w:t>
      </w:r>
      <w:r>
        <w:rPr>
          <w:color w:val="5B6B7A"/>
          <w:sz w:val="21"/>
        </w:rPr>
        <w:t>20:04, обдумывание — 47.6 с</w:t>
      </w:r>
    </w:p>
    <w:p>
      <w:pPr>
        <w:spacing w:before="80"/>
      </w:pPr>
      <w:r>
        <w:rPr>
          <w:b/>
          <w:color w:val="1A2733"/>
          <w:sz w:val="21"/>
        </w:rPr>
        <w:t>Ответ системы:</w:t>
      </w:r>
    </w:p>
    <w:p>
      <w:pPr>
        <w:pStyle w:val="ListNumber"/>
        <w:spacing w:after="80"/>
      </w:pPr>
      <w:r>
        <w:t>Организовать маркировку забракованных ТМЦ актом забраковки ТМЦ — форма 03-01. Для упакованной паллеты допускается разместить четыре экземпляра акта — по одному с каждой стороны паллеты.</w:t>
      </w:r>
    </w:p>
    <w:p>
      <w:pPr>
        <w:pStyle w:val="ListNumber"/>
        <w:spacing w:after="80"/>
      </w:pPr>
      <w:r>
        <w:t>Переместить забракованные ТМЦ в зону «БРАК» не позднее одного рабочего дня с момента получения акта.</w:t>
      </w:r>
    </w:p>
    <w:p>
      <w:pPr>
        <w:pStyle w:val="ListNumber"/>
        <w:spacing w:after="80"/>
      </w:pPr>
      <w:r>
        <w:t>Разместить ТМЦ согласно требованиям, указанным в акте забраковки. Для потенциально небезопасной продукции или продукции с аллергеном нужно использовать специально указанные ячейки зоны брака, если это предусмотрено в поле «Заключение» акта.</w:t>
      </w:r>
    </w:p>
    <w:p>
      <w:pPr>
        <w:pStyle w:val="ListNumber"/>
        <w:spacing w:after="80"/>
      </w:pPr>
      <w:r>
        <w:t>Хранить забракованные ТМЦ отдельно на специальном участке, если они подлежат переработке и оформлены актом забраковки и актом разрешения на отклонение.</w:t>
      </w:r>
    </w:p>
    <w:p>
      <w:pPr>
        <w:spacing w:after="120"/>
      </w:pPr>
      <w:r>
        <w:t>Перемещение ТМЦ на склад «БРАК» в базе 1С-8 организует бухгалтер по учёту ТМЦ.</w:t>
      </w:r>
    </w:p>
    <w:p>
      <w:r>
        <w:rPr>
          <w:b/>
          <w:color w:val="1A2733"/>
          <w:sz w:val="21"/>
        </w:rPr>
        <w:t>Источники, на которые сослалась система: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087"/>
            <w:shd w:val="clear" w:color="auto" w:fill="1A2733"/>
          </w:tcPr>
          <w:p>
            <w:r/>
            <w:r>
              <w:rPr>
                <w:b/>
                <w:color w:val="FFFFFF"/>
                <w:sz w:val="20"/>
              </w:rPr>
              <w:t>Документ</w:t>
            </w:r>
          </w:p>
        </w:tc>
        <w:tc>
          <w:tcPr>
            <w:tcW w:type="dxa" w:w="1417"/>
            <w:shd w:val="clear" w:color="auto" w:fill="1A2733"/>
          </w:tcPr>
          <w:p>
            <w:r/>
            <w:r>
              <w:rPr>
                <w:b/>
                <w:color w:val="FFFFFF"/>
                <w:sz w:val="20"/>
              </w:rPr>
              <w:t>Релевантность</w:t>
            </w:r>
          </w:p>
        </w:tc>
      </w:tr>
      <w:tr>
        <w:tc>
          <w:tcPr>
            <w:tcW w:type="dxa" w:w="7087"/>
          </w:tcPr>
          <w:p>
            <w:r/>
            <w:r>
              <w:rPr>
                <w:b w:val="0"/>
                <w:color w:val="5B6B7A"/>
                <w:sz w:val="20"/>
              </w:rPr>
              <w:t>для теста ИИ (1)/ПР-03-00-12 Несоответствующая продукция.doc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color w:val="5B6B7A"/>
                <w:sz w:val="20"/>
              </w:rPr>
              <w:t>44%</w:t>
            </w:r>
          </w:p>
        </w:tc>
      </w:tr>
      <w:tr>
        <w:tc>
          <w:tcPr>
            <w:tcW w:type="dxa" w:w="7087"/>
          </w:tcPr>
          <w:p>
            <w:r/>
            <w:r>
              <w:rPr>
                <w:b w:val="0"/>
                <w:color w:val="5B6B7A"/>
                <w:sz w:val="20"/>
              </w:rPr>
              <w:t>для теста ИИ (1)/ПР-08-00-14 Производственный процесс.doc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color w:val="5B6B7A"/>
                <w:sz w:val="20"/>
              </w:rPr>
              <w:t>40%</w:t>
            </w:r>
          </w:p>
        </w:tc>
      </w:tr>
    </w:tbl>
    <w:p/>
    <w:p>
      <w:pPr>
        <w:spacing w:before="80" w:after="200"/>
      </w:pPr>
      <w:r>
        <w:rPr>
          <w:color w:val="C97A1A"/>
          <w:sz w:val="20"/>
        </w:rPr>
        <w:t>Оценка: ☐ верно   ☐ частично   ☐ неверно     Комментарий: ________________________________________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