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черновая карта волн проекта,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 xml:space="preserve">3 источника данных (КХД, CRM Bitrix24 через ESB, MCP-сервер), 2 согласованные роли из «до 5 в перспективе», 2 коллекции документов, до 20 пилотных пользователей. Источник: </w:t>
      </w:r>
      <w:r>
        <w:rPr>
          <w:rFonts w:ascii="Consolas" w:hAnsi="Consolas"/>
          <w:sz w:val="20"/>
        </w:rPr>
        <w:t>case-03-pilot-tz-ai-guard.md</w:t>
      </w:r>
      <w:r>
        <w:t xml:space="preserve">, </w:t>
      </w:r>
      <w:r>
        <w:rPr>
          <w:rFonts w:ascii="Consolas" w:hAnsi="Consolas"/>
          <w:sz w:val="20"/>
        </w:rPr>
        <w:t>docs/onboarding.md</w:t>
      </w:r>
      <w:r>
        <w:t>.</w:t>
      </w:r>
    </w:p>
    <w:p>
      <w:r>
        <w:t>Пилотное ТЗ изначально называло и четвёртый источник — «RAG-компании» — как отдельный пункт с открытым статусом (</w:t>
      </w:r>
      <w:r>
        <w:rPr>
          <w:rFonts w:ascii="Consolas" w:hAnsi="Consolas"/>
          <w:sz w:val="20"/>
        </w:rPr>
        <w:t>case-03-pilot-tz-ai-guard.md:29,83</w:t>
      </w:r>
      <w:r>
        <w:t xml:space="preserve">: «не до конца ясно, идёт ли речь о самостоятельном RAG-продукте Д8... или это просто дублирующее название той же платформы»). </w:t>
      </w:r>
      <w:r>
        <w:rPr>
          <w:b/>
        </w:rPr>
        <w:t>Резолюция 14.09.2026:</w:t>
      </w:r>
      <w:r>
        <w:t xml:space="preserve"> заказчик считает это, скорее всего, опечаткой/дублирующим названием, не отдельной системой — убрано из скоупа как самостоятельный источник (подробнее — §2).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Все 3 пилотных источника (КХД, ESB/CRM Bitrix24, MCP-сервер) </w:t>
      </w:r>
      <w:r>
        <w:rPr>
          <w:b/>
        </w:rPr>
        <w:t>остаются в скоупе проекта</w:t>
      </w:r>
      <w:r>
        <w:t xml:space="preserve"> — ничего из них не выводится. </w:t>
      </w:r>
      <w:r>
        <w:rPr>
          <w:b/>
        </w:rPr>
        <w:t>ESB и КХД — основные каналы, которые расширяются</w:t>
      </w:r>
      <w:r>
        <w:t>: больше витрин данных и больше API внутри шины, плюс, видимо, более широкий периметр самого хранилища. MCP-сервер остаётся в проекте как есть, на пилотном уровне — без заявленного расширения (если не появится отдельного запроса).</w:t>
      </w:r>
    </w:p>
    <w:p>
      <w:r>
        <w:rPr>
          <w:b/>
        </w:rPr>
        <w:t>Резолюция по «RAG-компании»:</w:t>
      </w:r>
      <w:r>
        <w:t xml:space="preserve"> заказчик подтвердил, что формулировка в пилотном ТЗ — скорее всего опечатка или дублирующее название пилотного контура, а не отдельная система. Убрано из скоупа как самостоятельный источник; снимает открытый вопрос, тянувшийся с пилотного ТЗ.</w:t>
      </w:r>
    </w:p>
    <w:p>
      <w:r>
        <w:t>Источники из мастер-ТЗ, не входившие в пилот (Excel/CSV напрямую, Email, Confluence, отдельный back-office-коннектор) — по-прежнему не подтверждены и не затронуты этим решением ни в одну, ни в другую сторону (см. вопрос 9).</w:t>
      </w:r>
    </w:p>
    <w:p>
      <w:r>
        <w:t>---</w:t>
      </w:r>
    </w:p>
    <w:p>
      <w:pPr>
        <w:pStyle w:val="Heading2"/>
      </w:pPr>
      <w:r>
        <w:t>3. Волны проекта — черновая карта (главный открытый вопрос)</w:t>
      </w:r>
    </w:p>
    <w:p>
      <w:r>
        <w:t>Заказчик задал порядок первых двух волн; дальнейшие волны прямо помечены как требующие уточнения.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Волна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RAG-документы</w:t>
            </w:r>
          </w:p>
        </w:tc>
        <w:tc>
          <w:tcPr>
            <w:tcW w:type="dxa" w:w="2880"/>
          </w:tcPr>
          <w:p>
            <w:r>
              <w:t>Порядок подтверждён заказчиком; точное содержание волны требует уточнения — см. ниже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Расширение КХД и ESB (шины)</w:t>
            </w:r>
          </w:p>
        </w:tc>
        <w:tc>
          <w:tcPr>
            <w:tcW w:type="dxa" w:w="2880"/>
          </w:tcPr>
          <w:p>
            <w:r>
              <w:t>Подтверждено заказчиком (см. §2) — больше витрин и API в шине, возможно расширение периметра КХД</w:t>
            </w:r>
          </w:p>
        </w:tc>
      </w:tr>
      <w:tr>
        <w:tc>
          <w:tcPr>
            <w:tcW w:type="dxa" w:w="2880"/>
          </w:tcPr>
          <w:p>
            <w:r>
              <w:t>3+</w:t>
            </w:r>
          </w:p>
        </w:tc>
        <w:tc>
          <w:tcPr>
            <w:tcW w:type="dxa" w:w="2880"/>
          </w:tcPr>
          <w:p>
            <w:r>
              <w:t>Не определено</w:t>
            </w:r>
          </w:p>
        </w:tc>
        <w:tc>
          <w:tcPr>
            <w:tcW w:type="dxa" w:w="2880"/>
          </w:tcPr>
          <w:p>
            <w:r>
              <w:t>Заказчик прямо отметил: «уточнить какие дальше»</w:t>
            </w:r>
          </w:p>
        </w:tc>
      </w:tr>
    </w:tbl>
    <w:p>
      <w:pPr>
        <w:pStyle w:val="Heading3"/>
      </w:pPr>
      <w:r>
        <w:t>Волна 1 — «RAG-документы»: что нужно уточнить</w:t>
      </w:r>
    </w:p>
    <w:p>
      <w:r>
        <w:t>Формулировка допускает минимум три разных толкования — их не стоит смешивать без явного уточнения у заказчика:</w:t>
      </w:r>
    </w:p>
    <w:p>
      <w:r>
        <w:t xml:space="preserve">- </w:t>
      </w:r>
      <w:r>
        <w:rPr>
          <w:b/>
        </w:rPr>
        <w:t>(а) Расширение самого документного корпуса</w:t>
      </w:r>
      <w:r>
        <w:t xml:space="preserve"> — добавление типов документов, не входивших в пилот: Word/PDF из мастер-ТЗ (декларации, договоры ДУ, меморандумы, внутренние регламенты — §1.2, статус «не подтверждено»). Если это имелось в виду — волна 1 частично закрывает вопрос 9 ниже (Word/PDF-регламенты).</w:t>
      </w:r>
    </w:p>
    <w:p>
      <w:r>
        <w:t xml:space="preserve">- </w:t>
      </w:r>
      <w:r>
        <w:rPr>
          <w:b/>
        </w:rPr>
        <w:t>(б) Улучшение качества и покрытия уже подключённых RAG-коллекций пилота</w:t>
      </w:r>
      <w:r>
        <w:t xml:space="preserve"> (их 2) — без добавления новых типов документов, а работа над полнотой/актуальностью того, что уже загружено.</w:t>
      </w:r>
    </w:p>
    <w:p>
      <w:r>
        <w:t xml:space="preserve">- </w:t>
      </w:r>
      <w:r>
        <w:rPr>
          <w:b/>
        </w:rPr>
        <w:t>(в) Технически новая RAG-коллекция</w:t>
      </w:r>
      <w:r>
        <w:t xml:space="preserve"> под конкретное подразделение или задачу, отдельная от двух пилотных.</w:t>
      </w:r>
    </w:p>
    <w:p>
      <w:r>
        <w:t>Рекомендуем закрыть это тем же способом, что и вопрос про «RAG-компании» — коротким уточняющим созвоном, а не перепиской, поскольку от ответа зависит, входит ли волна 1 в периметр методического этапа П2 (архитектура) или это отдельная, более узкая задача каталогизации/загрузки контента.</w:t>
      </w:r>
    </w:p>
    <w:p>
      <w:pPr>
        <w:pStyle w:val="Heading3"/>
      </w:pPr>
      <w:r>
        <w:t>Волна 2 — Расширение КХД и ESB</w:t>
      </w:r>
    </w:p>
    <w:p>
      <w:r>
        <w:t>Содержание уже описано в §2. Технические открытые вопросы по этой волне — вопросы 1–3 в §5.</w:t>
      </w:r>
    </w:p>
    <w:p>
      <w:pPr>
        <w:pStyle w:val="Heading3"/>
      </w:pPr>
      <w:r>
        <w:t>Волна 3+ — открыто, кандидаты для обсуждения</w:t>
      </w:r>
    </w:p>
    <w:p>
      <w:r>
        <w:t>Заказчик явно оставил это открытым. Ниже — не решение, а материал для следующего разговора (кандидаты, исходя из известного контекста):</w:t>
      </w:r>
    </w:p>
    <w:p>
      <w:r>
        <w:t>- Роллаут на новые роли/подразделения (аналитики/портфельные управляющие → руководство → бэк-офис) — см. предложение 5 в §6.</w:t>
      </w:r>
    </w:p>
    <w:p>
      <w:r>
        <w:t>- Переход на динамические права доступа (вопрос 6), если к этому моменту готова платформенная сторона (реестр §4).</w:t>
      </w:r>
    </w:p>
    <w:p>
      <w:r>
        <w:t>- Источники вне пилотной тройки (Email/Confluence/Excel-CSV) — если по вопросу 9 заказчик подтвердит их актуальность.</w:t>
      </w:r>
    </w:p>
    <w:p>
      <w:r>
        <w:t>- Промышленная эксплуатация (фаза П4 методики) — начинается не как отдельная волна, а как переход в режим SLA после того, как первые волны приняты.</w:t>
      </w:r>
    </w:p>
    <w:p>
      <w:r>
        <w:t>---</w:t>
      </w:r>
    </w:p>
    <w:p>
      <w:pPr>
        <w:pStyle w:val="Heading2"/>
      </w:pPr>
      <w:r>
        <w:t>4.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Д8. Дополнена (14.09.2026) колонками «Квартал» (срок на стороне платформы) и «Уточнение» (что уже помечено как требующее уточнения у заказчика):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Квартал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Уточнение</w:t>
            </w:r>
          </w:p>
        </w:tc>
      </w:tr>
      <w:tr>
        <w:tc>
          <w:tcPr>
            <w:tcW w:type="dxa" w:w="1728"/>
          </w:tcPr>
          <w:p>
            <w:r>
              <w:t>В плане</w:t>
            </w:r>
          </w:p>
        </w:tc>
        <w:tc>
          <w:tcPr>
            <w:tcW w:type="dxa" w:w="1728"/>
          </w:tcPr>
          <w:p>
            <w:r>
              <w:t>Мультидоменная авторизация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Работа с MS Office 365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Выяснить про search API</w:t>
            </w:r>
          </w:p>
        </w:tc>
        <w:tc>
          <w:tcPr>
            <w:tcW w:type="dxa" w:w="1728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Уточняем (на стороне платформы)</w:t>
            </w:r>
          </w:p>
        </w:tc>
      </w:tr>
      <w:tr>
        <w:tc>
          <w:tcPr>
            <w:tcW w:type="dxa" w:w="1728"/>
          </w:tcPr>
          <w:p>
            <w:r>
              <w:t>Кастомизация выбора источников</w:t>
            </w:r>
          </w:p>
        </w:tc>
        <w:tc>
          <w:tcPr>
            <w:tcW w:type="dxa" w:w="1728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Требует проработки (визуал)</w:t>
            </w:r>
          </w:p>
        </w:tc>
        <w:tc>
          <w:tcPr>
            <w:tcW w:type="dxa" w:w="1728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 — 1 квартал 2027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В работе</w:t>
            </w:r>
          </w:p>
        </w:tc>
        <w:tc>
          <w:tcPr>
            <w:tcW w:type="dxa" w:w="1728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Упрощение заведения пользователей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</w:tbl>
    <w:p>
      <w:r>
        <w:rPr>
          <w:b/>
        </w:rPr>
        <w:t>Прямая связь с волной 2 (§3) / решением по ESB (§2) — с поправкой на сроки:</w:t>
      </w:r>
    </w:p>
    <w:p>
      <w:r>
        <w:t xml:space="preserve">- «Обновление данных в RAG-ах через API» (высокий) — </w:t>
      </w:r>
      <w:r>
        <w:rPr>
          <w:b/>
        </w:rPr>
        <w:t>уже в плане на 4 квартал</w:t>
      </w:r>
      <w:r>
        <w:t>, платформенная сторона не блокирует старт волны 2 в ожидаемые сроки.</w:t>
      </w:r>
    </w:p>
    <w:p>
      <w:r>
        <w:t>- «Обновление информации о правах доступа... через таблицы/API» (высокий) — сроков пока нет, статус «Уточнить у заказчика». Это более реальный риск-фактор для волны 2 (и особенно для чувствительных волн 3+), чем первый пункт — см. пересмотренное предложение 4 в §6.</w:t>
      </w:r>
    </w:p>
    <w:p>
      <w:r>
        <w:rPr>
          <w:b/>
        </w:rPr>
        <w:t>Из 11 пунктов реестра только 4 помечены «Уточнить у заказчика»</w:t>
      </w:r>
      <w:r>
        <w:t xml:space="preserve"> — именно они (и только они) взяты в список вопросов ниже (§5, раздел «Платформенные возможности»). Остальные 7 — либо уже запланированы платформой на конкретный квартал (мультидоменная авторизация, MS Office 365, обновление RAG через API, визуал графиков, документация, кастомные наименования замен), либо в статусе «Уточняем» силами самой платформенной команды, не требуют ответа от заказчика (поддержка API Claude/search) — вынесены из вопросов заказчику, чтобы не задавать то, что уже решается без него.</w:t>
      </w:r>
    </w:p>
    <w:p>
      <w:r>
        <w:t>---</w:t>
      </w:r>
    </w:p>
    <w:p>
      <w:pPr>
        <w:pStyle w:val="Heading2"/>
      </w:pPr>
      <w:r>
        <w:t>5. Список вопросов к заказчику (Д8)</w:t>
      </w:r>
    </w:p>
    <w:p>
      <w:pPr>
        <w:pStyle w:val="Heading3"/>
      </w:pPr>
      <w:r>
        <w:t>Волны проекта</w:t>
      </w:r>
    </w:p>
    <w:p>
      <w:r>
        <w:t>1. Волна 1 «RAG-документы» — что именно имеется в виду: (а) новые типы документов сверх пилотных двух коллекций, (б) улучшение качества/покрытия уже загруженного, или (в) отдельная новая коллекция под конкретную задачу/подразделение?</w:t>
      </w:r>
    </w:p>
    <w:p>
      <w:r>
        <w:t>2. Волна 3 и далее — есть ли уже примерное направление (роли, новые источники, промышленная эксплуатация), или это открытый вопрос до завершения волны 2?</w:t>
      </w:r>
    </w:p>
    <w:p>
      <w:pPr>
        <w:pStyle w:val="Heading3"/>
      </w:pPr>
      <w:r>
        <w:t>Интеграция (ESB / КХД, волна 2)</w:t>
      </w:r>
    </w:p>
    <w:p>
      <w:r>
        <w:t>3. Какие конкретно витрины данных нужно добавить в ESB сверх текущего среза CRM (Bitrix24)? Список витрин с владельцами на стороне Д8.</w:t>
      </w:r>
    </w:p>
    <w:p>
      <w:r>
        <w:t>4.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5. КХД — расширяется ли состав таблиц/витрин внутри самого хранилища, или его периметр остаётся как в пилоте?</w:t>
      </w:r>
    </w:p>
    <w:p>
      <w:pPr>
        <w:pStyle w:val="Heading3"/>
      </w:pPr>
      <w:r>
        <w:t>Права доступа и роли</w:t>
      </w:r>
    </w:p>
    <w:p>
      <w:r>
        <w:t>6.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карты волн 3+.</w:t>
      </w:r>
    </w:p>
    <w:p>
      <w:r>
        <w:t>7.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8. Права доступа сотрудников сейчас фиксированы по статичному списку политик. Для проекта это должно стать динамическим (через таблицы/API из системы-источника прав)? Если да — какая система является источником истины по правам (HR-система, Bitrix24, отдельный IAM)? *(= пункт реестра «Обновление информации о правах доступа...», Уточнить у заказчика)*</w:t>
      </w:r>
    </w:p>
    <w:p>
      <w:pPr>
        <w:pStyle w:val="Heading3"/>
      </w:pPr>
      <w:r>
        <w:t>Источники данных вне пилотных трёх</w:t>
      </w:r>
    </w:p>
    <w:p>
      <w:r>
        <w:t>9. Email, Word/PDF-регламенты, Confluence из мастер-ТЗ (§1.2) — они не входили в пилот. Подтверждается ли, что они НЕ входят и в проект (за вычетом того, что может решиться толкованием волны 1(а)), или это отдельный вопрос, который ещё предстоит решить?</w:t>
      </w:r>
    </w:p>
    <w:p>
      <w:r>
        <w:t>10.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— только пункты реестра, помеченные «Уточнить у заказчика»</w:t>
      </w:r>
    </w:p>
    <w:p>
      <w:r>
        <w:t>11. Кастомизация выбора источников — нужна ли возможность подключать/отключать источники данных внутри компании прямо в режиме чата и через API, или фиксированный набор источников на пользователя/роль достаточен?</w:t>
      </w:r>
    </w:p>
    <w:p>
      <w:r>
        <w:t>12. Персональные RAG-коллекции пользователей — нужна ли пользователям возможность самим создавать RAG-коллекции и делиться ими с коллегами (вместо текущего набора файлов), или это не актуально для Д8?</w:t>
      </w:r>
    </w:p>
    <w:p>
      <w:r>
        <w:t>13. Упрощение заведения пользователей — что именно сейчас неудобно в процессе добавления новых пользователей на стороне Д8? (нужен конкретный сценарий, чтобы платформа могла спроектировать упрощение по делу)</w:t>
      </w:r>
    </w:p>
    <w:p>
      <w:pPr>
        <w:pStyle w:val="Heading3"/>
      </w:pPr>
      <w:r>
        <w:t>Общее по проекту (Кейс 2 методики)</w:t>
      </w:r>
    </w:p>
    <w:p>
      <w:r>
        <w:t>14.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 xml:space="preserve">15.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6.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Волна 1 — закрыть коротким созвоном, не перепиской.</w:t>
      </w:r>
      <w:r>
        <w:t xml:space="preserve"> Как и с «RAG-компании» — три возможных толкования (§3) слишком разные по объёму работ, чтобы гадать. Предлагаем этот вопрос первым, до отправки остального списка.</w:t>
      </w:r>
    </w:p>
    <w:p>
      <w:r>
        <w:t xml:space="preserve">2. </w:t>
      </w:r>
      <w:r>
        <w:rPr>
          <w:b/>
        </w:rPr>
        <w:t>Решение по ESB/КХД (волна 2) зафиксировать письменно как есть — расширение, не сужение.</w:t>
      </w:r>
      <w:r>
        <w:t xml:space="preserve"> Предлагаем формулировку для проектного ТЗ: «Все 3 пилотных источника (КХД, ESB/CRM, MCP-сервер) остаются в проекте; ESB и КХД получают расширение (витрины/API), MCP-сервер — на пилотном уровне; «RAG-компании» исключён из скоупа как опечатка/дублирующее название». Источники вне пилотной тройки — отдельный, пока не решённый вопрос (вопрос 9), не путать с этим решением.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(вопрос 8) — не блокировать волну 2, но зафиксировать как gate для поздних волн.</w:t>
      </w:r>
      <w:r>
        <w:t xml:space="preserve"> На стороне платформы срока пока нет («Уточнить у заказчика» в реестре — платформа тоже ждёт ответа Д8). Предлагаем: волну 2 запускать на статичной модели прав (как в пилоте), но заложить в архитектуру совместимость с будущим переходом на API-модель — и явно зафиксировать, что волны с данными повышенной чувствительности (комплаенс, бэк-офис, кандидаты для волны 3+) не начинаются, пока это не готово с обеих сторон (ответ Д8 + реализация платформы). Отдельно: «Обновление данных в RAG через API» — уже в плане платформы на 4 квартал, для этого пункта отдельного вопроса заказчику не нужно, только держать в поле зрения срок.</w:t>
      </w:r>
    </w:p>
    <w:p>
      <w:r>
        <w:t xml:space="preserve">5. </w:t>
      </w:r>
      <w:r>
        <w:rPr>
          <w:b/>
        </w:rPr>
        <w:t>Для волны 3+, если это роллаут по ролям — предлагаем порядок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среди ролевых волн — наименьший технический риск. Бэк-офис — последним: самые чувствительные данные (сделки, документы), и именно туда упирается вопрос 8 (динамические права доступа).</w:t>
      </w:r>
    </w:p>
    <w:p>
      <w:r>
        <w:t xml:space="preserve">6. </w:t>
      </w:r>
      <w:r>
        <w:rPr>
          <w:b/>
        </w:rPr>
        <w:t>Критерий перехода (вопрос 15)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волны 1 или 2, а не тихо забыть при переходе в проект.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