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6E63"/>
          <w:sz w:val="36"/>
          <w:szCs w:val="36"/>
        </w:rPr>
        <w:t xml:space="preserve">ИНСТРУКЦИЯ</w:t>
      </w:r>
    </w:p>
    <w:p>
      <w:pPr>
        <w:spacing w:after="260"/>
      </w:pPr>
      <w:r>
        <w:rPr>
          <w:rFonts w:ascii="Arial" w:cs="Arial" w:eastAsia="Arial" w:hAnsi="Arial"/>
          <w:b/>
          <w:bCs/>
          <w:color w:val="14181F"/>
          <w:sz w:val="24"/>
          <w:szCs w:val="24"/>
        </w:rPr>
        <w:t xml:space="preserve">Покрытие маскирования vs «Перечень информации, составляющей коммерческую тайну АО «Инвестиционная компания Д8», версия 3.0»</w:t>
      </w:r>
    </w:p>
    <w:p>
      <w:pPr>
        <w:spacing w:after="140" w:line="300"/>
      </w:pPr>
      <w:r>
        <w:rPr>
          <w:rFonts w:ascii="Arial" w:cs="Arial" w:eastAsia="Arial" w:hAnsi="Arial"/>
          <w:i/>
          <w:iCs/>
          <w:color w:val="5B6570"/>
          <w:sz w:val="19"/>
          <w:szCs w:val="19"/>
        </w:rPr>
        <w:t xml:space="preserve">Документ фиксирует, что было сделано по задаче сопоставления перечня коммерческой тайны заказчика Д8 со встроенными типами PII-маскировщика платформы, и что осталось уточнить у заказчика перед пилотом.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E6E63"/>
          <w:sz w:val="28"/>
          <w:szCs w:val="28"/>
        </w:rPr>
        <w:t xml:space="preserve">1. Источник и контекст</w:t>
      </w:r>
    </w:p>
    <w:p>
      <w:pPr>
        <w:spacing w:after="140" w:line="300"/>
      </w:pPr>
      <w:r>
        <w:rPr>
          <w:rFonts w:ascii="Arial" w:cs="Arial" w:eastAsia="Arial" w:hAnsi="Arial"/>
          <w:sz w:val="21"/>
          <w:szCs w:val="21"/>
        </w:rPr>
        <w:t xml:space="preserve">Заказчик — АО «Инвестиционная компания Д8» — предоставил официальный перечень сведений, составляющих коммерческую тайну: Приложение №2 к приказу Генерального директора от 18.05.2026 № 26-18/05-1.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1"/>
          <w:szCs w:val="21"/>
        </w:rPr>
        <w:t xml:space="preserve">Файл источника: docs/sources/commercial-secret-perechen-d8-v3.pdf — скан документа без текстового слоя (распознан вручную построчно).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1"/>
          <w:szCs w:val="21"/>
        </w:rPr>
        <w:t xml:space="preserve">Перечень состоит из 5 разделов и 30 отдельных пунктов/подпунктов: 1) информация о клиентах, 2) контрагенты и партнёры, 3) автоматизация деятельности, 4) обеспечение безопасности, 5) использование ИИ.</w:t>
      </w:r>
    </w:p>
    <w:p>
      <w:pPr>
        <w:spacing w:after="140" w:line="300"/>
      </w:pPr>
      <w:r>
        <w:rPr>
          <w:rFonts w:ascii="Arial" w:cs="Arial" w:eastAsia="Arial" w:hAnsi="Arial"/>
          <w:sz w:val="21"/>
          <w:szCs w:val="21"/>
        </w:rPr>
        <w:t xml:space="preserve">Задача: понять, какие пункты перечня уже покрываются встроенными типами PII платформы (маскируются автоматически), какие — частично, а какие полностью выходят за рамки PII-маскирования и требуют либо кастомных типов, либо иных мер контроля (RBAC, DLP, организационные политики).</w:t>
      </w:r>
    </w:p>
    <w:p>
      <w:pPr>
        <w:spacing w:after="140" w:line="300"/>
      </w:pPr>
      <w:r>
        <w:rPr>
          <w:rFonts w:ascii="Arial" w:cs="Arial" w:eastAsia="Arial" w:hAnsi="Arial"/>
          <w:color w:val="5B6570"/>
          <w:sz w:val="19"/>
          <w:szCs w:val="19"/>
        </w:rPr>
        <w:t xml:space="preserve">Проверка качества: перед финализацией проведена независимая повторная сверка скана с распечатанной таблицей (силами отдельного технического ревью). Реквизиты приказа (дата, номер, подпись ген. директора В.В. Грицука) подтверждены как перепечатанные верно. Найдена и исправлена одна содержательная неточность — в п. 2.1 при первой перепечатке был упущен фрагмент про идентификационную информацию по контрагентам; формулировка восстановлена по оригиналу. Остальные расхождения — некритичные сокращения формулировок (таблица по методологии даёт «дословно/по смыслу», не построчную цитату).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E6E63"/>
          <w:sz w:val="28"/>
          <w:szCs w:val="28"/>
        </w:rPr>
        <w:t xml:space="preserve">2. Методология анализа</w:t>
      </w:r>
    </w:p>
    <w:p>
      <w:pPr>
        <w:spacing w:after="140" w:line="300"/>
      </w:pPr>
      <w:r>
        <w:rPr>
          <w:rFonts w:ascii="Arial" w:cs="Arial" w:eastAsia="Arial" w:hAnsi="Arial"/>
          <w:sz w:val="21"/>
          <w:szCs w:val="21"/>
        </w:rPr>
        <w:t xml:space="preserve">Каждый из 30 пунктов перечня сопоставлен вручную с каталогом встроенных PIIType платформы. Присвоен один из трёх статусов: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1"/>
          <w:szCs w:val="21"/>
        </w:rPr>
        <w:t xml:space="preserve">«Маскируется» — формулировка заказчика напрямую совпадает со встроенным типом (например, ФИО → PERSON/FULL_NAME, телефон → PHONE).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1"/>
          <w:szCs w:val="21"/>
        </w:rPr>
        <w:t xml:space="preserve">«Частично» — тип есть, но покрывает не весь объём требования заказчика (например, PASSPORT покрывает только паспорт РФ, а заказчик пишет шире — «документы, удостоверяющие личность»).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1"/>
          <w:szCs w:val="21"/>
        </w:rPr>
        <w:t xml:space="preserve">«Не маскируется» — сведения не являются именованной PII-сущностью (финансово-операционные детали, IT-инфраструктура, ИБ-меры, договорная информация) и вне текущего скоупа PII-маскировщика.</w:t>
      </w:r>
    </w:p>
    <w:p>
      <w:pPr>
        <w:spacing w:after="140" w:line="300"/>
      </w:pPr>
      <w:r>
        <w:rPr>
          <w:rFonts w:ascii="Arial" w:cs="Arial" w:eastAsia="Arial" w:hAnsi="Arial"/>
          <w:sz w:val="21"/>
          <w:szCs w:val="21"/>
        </w:rPr>
        <w:t xml:space="preserve">Нумерация пунктов в таблице сохранена как в оригинале заказчика (1.1, 1.2, 1.3 …) — без изобретения собственной сквозной нумерации, чтобы результат анализа было легко сверять с исходным документом заказчика построчно.</w:t>
      </w:r>
    </w:p>
    <w:p>
      <w:pPr>
        <w:spacing w:after="140" w:line="300"/>
      </w:pPr>
      <w:r>
        <w:rPr>
          <w:rFonts w:ascii="Arial" w:cs="Arial" w:eastAsia="Arial" w:hAnsi="Arial"/>
          <w:sz w:val="21"/>
          <w:szCs w:val="21"/>
        </w:rPr>
        <w:t xml:space="preserve">Результат оформлен как построчная таблица (одна строка = один пункт перечня) в файле docs/analysis/pokrytie-maskirovaniya-perechen-d8.xlsx, лист «Покрытие маскирования»: пункт, раздел, требование заказчика, наш тип/код, статус, флаг «требуется уточнение», комментарий, вопрос к заказчику с примером, ссылка на эталонные тестовые файлы для проверки.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E6E63"/>
          <w:sz w:val="28"/>
          <w:szCs w:val="28"/>
        </w:rPr>
        <w:t xml:space="preserve">3. Результаты покрытия</w:t>
      </w:r>
    </w:p>
    <w:p>
      <w:pPr>
        <w:spacing w:after="140" w:line="300"/>
      </w:pPr>
      <w:r>
        <w:rPr>
          <w:rFonts w:ascii="Arial" w:cs="Arial" w:eastAsia="Arial" w:hAnsi="Arial"/>
          <w:sz w:val="21"/>
          <w:szCs w:val="21"/>
        </w:rPr>
        <w:t xml:space="preserve">Из 30 пунктов перечня: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350"/>
        <w:gridCol w:w="2350"/>
      </w:tblGrid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6E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6E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Количество пунктов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6E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Доля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3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C"/>
                <w:sz w:val="19"/>
                <w:szCs w:val="19"/>
              </w:rPr>
              <w:t xml:space="preserve">Маскируется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630F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17%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393B"/>
                <w:sz w:val="19"/>
                <w:szCs w:val="19"/>
              </w:rPr>
              <w:t xml:space="preserve">Не маскируется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Итого пунктов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40" w:before="200"/>
      </w:pPr>
    </w:p>
    <w:p>
      <w:pPr>
        <w:spacing w:after="140" w:line="300"/>
      </w:pPr>
      <w:r>
        <w:rPr>
          <w:rFonts w:ascii="Arial" w:cs="Arial" w:eastAsia="Arial" w:hAnsi="Arial"/>
          <w:sz w:val="21"/>
          <w:szCs w:val="21"/>
        </w:rPr>
        <w:t xml:space="preserve">Полностью покрыты («Маскируется») — базовые персональные идентификаторы клиента: ФИО, адрес, телефон, email. Частично покрыты (5 пунктов) — документы, удостоверяющие личность (только паспорт РФ), информация о представителях/бенефициарах, ФИО/наименование клиента с уникальным кодом, информация о контрагентах, и — уточнено при ревью — структура сети (IP-адреса уже маскируются встроенным типом IP, не покрыты только имена серверов и текстовое описание топологии).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 из 30 пунктов (70%) формально имеют статус «Не маскируется» — но это не единая категория. Число вводит в заблуждение, если не разбить его по причине: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900"/>
        <w:gridCol w:w="1900"/>
      </w:tblGrid>
      <w:tr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6E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Категория (из 21 «Не маскируется»)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6E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Кол-во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6E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Доля от 30</w:t>
            </w:r>
          </w:p>
        </w:tc>
      </w:tr>
      <w:tr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3630F"/>
                <w:sz w:val="19"/>
                <w:szCs w:val="19"/>
              </w:rPr>
              <w:t xml:space="preserve">Потенциальный кастомный PIIType (финансово-операционные детали, п. 1.3–1.5)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</w:tr>
      <w:tr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393B"/>
                <w:sz w:val="19"/>
                <w:szCs w:val="19"/>
              </w:rPr>
              <w:t xml:space="preserve">Структурно вне PII-маскировщика (IT/ИБ/AI-policy/оргданные — RBAC/DLP, не новый тип)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43%</w:t>
            </w:r>
          </w:p>
        </w:tc>
      </w:tr>
    </w:tbl>
    <w:p>
      <w:pPr>
        <w:spacing w:after="140" w:before="200"/>
      </w:pPr>
    </w:p>
    <w:p>
      <w:pPr>
        <w:spacing w:after="140" w:line="300"/>
      </w:pPr>
      <w:r>
        <w:rPr>
          <w:rFonts w:ascii="Arial" w:cs="Arial" w:eastAsia="Arial" w:hAnsi="Arial"/>
          <w:sz w:val="21"/>
          <w:szCs w:val="21"/>
        </w:rPr>
        <w:t xml:space="preserve">Первая группа (8 пунктов, раздел 1) — финансово-операционные детали (номера/даты договоров, сделки по счетам, займы, задолженность, остатки), для которых реалистично разработать кастомный PIIType. Вторая группа (13 пунктов) — контрагентские соглашения, IT-инфраструктура, ИБ-меры, программный код, политика работы с ИИ — структурно другой слой контроля, не именованные PII-сущности.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Для второй группы у платформы уже есть готовый архитектурный кандидат: собственный DLP-подобный механизм (классификация текста, база защищаемых сведений, матрица допустимых получателей, режим блокировки либо направления на рассмотрение), работающий автономно и не требующий внешней системы — см. docs/rfi-responses/source/rfi-response-platform-ai-guard-extracted.md, §5.3. Формулировки соответствующих пунктов Перечня — прямой кандидат на загрузку в «базу защищаемых сведений» этого механизма, вместо разработки под них отдельных PIIType.</w:t>
      </w:r>
    </w:p>
    <w:p>
      <w:pPr>
        <w:spacing w:after="140" w:line="300"/>
      </w:pPr>
      <w:r>
        <w:rPr>
          <w:rFonts w:ascii="Arial" w:cs="Arial" w:eastAsia="Arial" w:hAnsi="Arial"/>
          <w:sz w:val="21"/>
          <w:szCs w:val="21"/>
        </w:rPr>
        <w:t xml:space="preserve">Подробности и доли по каждому статусу — лист «Сводка» в том же файле xlsx.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E6E63"/>
          <w:sz w:val="28"/>
          <w:szCs w:val="28"/>
        </w:rPr>
        <w:t xml:space="preserve">4. Открытые вопросы к заказчику</w:t>
      </w:r>
    </w:p>
    <w:p>
      <w:pPr>
        <w:spacing w:after="140" w:line="300"/>
      </w:pPr>
      <w:r>
        <w:rPr>
          <w:rFonts w:ascii="Arial" w:cs="Arial" w:eastAsia="Arial" w:hAnsi="Arial"/>
          <w:sz w:val="21"/>
          <w:szCs w:val="21"/>
        </w:rPr>
        <w:t xml:space="preserve">Для всех 21+5 пунктов со статусом «Не маскируется» или «Частично» в таблице (столбец H «Вопрос к заказчику») сформулирован конкретный уточняющий вопрос с примером из практики и, где применимо, наша техническая рекомендация — не просто открытый вопрос, а предложенный вариант решения на подтверждение.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Логика вопросов группируется по трём типам: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sz w:val="21"/>
          <w:szCs w:val="21"/>
        </w:rPr>
        <w:t xml:space="preserve">Финансово-операционные детали (п. 1.3–1.5, 8 пунктов) — по каждому дана рекомендация завести кастомный тип (например, «НОМЕР_ДОГОВОРА»), с оговоркой: такой тип не будет иметь контрольной суммы для валидации (она реализована только для ИНН/СНИЛС/карты/ОГРН/IBAN/VIN), возможны ложные срабатывания на нестандартных форматах.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sz w:val="21"/>
          <w:szCs w:val="21"/>
        </w:rPr>
        <w:t xml:space="preserve">IT-инфраструктура и ИБ (п. 3.1, 3.2, 3.4, 4.1–4.6, 9 пунктов) — рекомендация: закрывать организационными/техническими мерами (RBAC, журналирование доступа) и встроенным DLP-механизмом платформы (см. раздел 3), а не PII-маскировщиком; для программного кода (п. 3.4) — это не рекомендация, а техническое ограничение: NER-детектор не покрывает произвольный код.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sz w:val="21"/>
          <w:szCs w:val="21"/>
        </w:rPr>
        <w:t xml:space="preserve">Политика работы с ИИ и договорная информация (п. 1.1, 2.2, 5.1–5.2, 4 пункта) — уточнение, должна ли проверка работать на уровне блокировки документа целиком при обнаружении данных из разделов 1–4 (через DLP-механизм), или требуется маскирование конкретных полей.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Отдельный риск для сроков пилота: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A8393B"/>
          <w:sz w:val="21"/>
          <w:szCs w:val="21"/>
        </w:rPr>
        <w:t xml:space="preserve">Пункт 1.3 «Номера и даты договоров» — кастомный тип «НОМЕР_ДОГОВОРА» пока не реализован, но «Номер договора» уже используется как целевая сущность в ground-truth наборе (docs/test-data/anonymizer-2-test-documents/manifest.json) для приёмочного критерия ≥98% (docs/analysis/case-03-pilot-tz-ai-guard.md). Если ответ заказчика по этому пункту задержится, приёмочный тест пилота рискует не набрать нужный процент именно из-за этого прогнозируемого пробела — стоит поднять этот вопрос заказчику в приоритетном порядке, отдельно от остальных 20.</w:t>
      </w:r>
    </w:p>
    <w:p>
      <w:pPr>
        <w:spacing w:after="140" w:line="300"/>
      </w:pPr>
      <w:r>
        <w:rPr>
          <w:rFonts w:ascii="Arial" w:cs="Arial" w:eastAsia="Arial" w:hAnsi="Arial"/>
          <w:sz w:val="21"/>
          <w:szCs w:val="21"/>
        </w:rPr>
        <w:t xml:space="preserve">Полный список всех вопросов с примерами — в файле docs/analysis/pokrytie-maskirovaniya-perechen-d8.xlsx, лист «Покрытие маскирования», столбец «Вопрос к заказчику (для уточнения объёма маскирования)», и краткий флаг «Требуется уточнение» в столбце F. Ответы заказчика необходимы до начала разработки кастомных типов и настройки политик пилота.</w:t>
      </w:r>
    </w:p>
    <w:p>
      <w:pPr>
        <w:pBdr>
          <w:top w:val="single" w:color="D9D9D9" w:sz="6" w:space="6"/>
        </w:pBdr>
        <w:spacing w:before="360"/>
      </w:pPr>
      <w:r>
        <w:rPr>
          <w:rFonts w:ascii="Arial" w:cs="Arial" w:eastAsia="Arial" w:hAnsi="Arial"/>
          <w:i/>
          <w:iCs/>
          <w:color w:val="5B6570"/>
          <w:sz w:val="17"/>
          <w:szCs w:val="17"/>
        </w:rPr>
        <w:t xml:space="preserve">Связанные файлы: docs/sources/commercial-secret-perechen-d8-v3.pdf · docs/analysis/pokrytie-maskirovaniya-perechen-d8.xlsx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2026-08-13T09:59:21.455Z</dcterms:created>
  <dcterms:modified xsi:type="dcterms:W3CDTF">2026-08-13T09:59:21.474Z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