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Баг-репорт: «Область поиска» не ограничивает retrieval выбранной коллекцией</w:t>
      </w:r>
    </w:p>
    <w:p>
      <w:r>
        <w:t>Кому: команда разработки платформы (Камерата)</w:t>
      </w:r>
    </w:p>
    <w:p>
      <w:r>
        <w:t>От: АО «Эко Ресурс», пилотный проект СМК</w:t>
      </w:r>
    </w:p>
    <w:p>
      <w:r>
        <w:t>Дата: 12.09.2026</w:t>
      </w:r>
    </w:p>
    <w:p>
      <w:r>
        <w:t>Серьёзность: высокая — блокирует текущий диагностический тест и подрывает доверие к механизму сужения поиска по коллекциям в принципе.</w:t>
      </w:r>
    </w:p>
    <w:p>
      <w:pPr>
        <w:pStyle w:val="Heading2"/>
      </w:pPr>
      <w:r>
        <w:t>1. Кратко</w:t>
      </w:r>
    </w:p>
    <w:p>
      <w:r>
        <w:t>Переключатель «Область поиска» → сужение до одной коллекции (в чате платформы) не ограничивает retrieval этой коллекцией на практике. Ответы продолжают цитировать документы из посторонних источников — другой коллекции того же домена и файлов, явно не относящихся к теме запроса — независимо от того, какая коллекция выбрана.</w:t>
      </w:r>
    </w:p>
    <w:p>
      <w:pPr>
        <w:pStyle w:val="Heading2"/>
      </w:pPr>
      <w:r>
        <w:t>2. Окружение</w:t>
      </w:r>
    </w:p>
    <w:p>
      <w:pPr>
        <w:pStyle w:val="ListBullet"/>
      </w:pPr>
      <w:r>
        <w:t>Домен: «Эко» (бизнес-домен ОМ), пользователь eco_user@itq-group.com, роль Domain Only Access Role.</w:t>
      </w:r>
    </w:p>
    <w:p>
      <w:pPr>
        <w:pStyle w:val="ListBullet"/>
      </w:pPr>
      <w:r>
        <w:t>Коллекции (в рамках одного домена): eco (27 документов, 494 чанка, 07.07.2026, загрузчик irina) и ЭКО_2 (27 документов, 353 чанка, создана 12.09.2026, полностью проиндексирована — статистика коллекции показывает 27/27 «Готово», 0 ошибок).</w:t>
      </w:r>
    </w:p>
    <w:p>
      <w:pPr>
        <w:pStyle w:val="ListBullet"/>
      </w:pPr>
      <w:r>
        <w:t>Область поиска в чате: «Данные (каталог и SQL)» + «Документы», сужено до одной коллекции.</w:t>
      </w:r>
    </w:p>
    <w:p>
      <w:pPr>
        <w:pStyle w:val="Heading2"/>
      </w:pPr>
      <w:r>
        <w:t>3. Шаги воспроизведения и наблюдения</w:t>
      </w:r>
    </w:p>
    <w:p>
      <w:r>
        <w:rPr>
          <w:b/>
        </w:rPr>
        <w:t>Наблюдение 1 — идентичный результат при смене коллекции.</w:t>
      </w:r>
    </w:p>
    <w:p>
      <w:r>
        <w:t>12.09.2026, 15:06–15:07. Вопрос «Какие поля заполняет оператор после фасовки продукции?» задан дважды подряд, дословно теми же словами: первый раз область поиска сужена до ЭКО_2, второй раз — до ЭКО.</w:t>
      </w:r>
    </w:p>
    <w:p>
      <w:r>
        <w:t>Результат идентичен в обоих случаях: тот же текст ответа, та же карточка источника — «для теста ИИ (1)/И-15-06-08 Документальное оформление продукции ОСиС.docx» (86% → 88%). ЭКО_2 и eco — разные коллекции с разным содержимым; если бы область поиска реально ограничивала retrieval, результат обязан был отличаться хотя бы путём источника.</w:t>
      </w:r>
    </w:p>
    <w:p>
      <w:r>
        <w:rPr>
          <w:b/>
        </w:rPr>
        <w:t>Наблюдение 2 — цитируется чужая коллекция, а не выбранная.</w:t>
      </w:r>
    </w:p>
    <w:p>
      <w:r>
        <w:t>15:12, тот же день. Вопрос «Действия по корректировке Заказа на производство при выпуске продукции с меньшим весом», область поиска сужена до ЭКО_2. Ответ по существу верный, но источник — «для теста ИИ (1)/И-12-10-03 Корректировка Заказу покупателя в 1С.docx» (70%) — файл из коллекции eco, загруженный туда ещё 07.07.2026. Наш собственный файл с этим же содержанием, добавленный в ЭКО_2 в тот же день, не процитирован вообще.</w:t>
      </w:r>
    </w:p>
    <w:p>
      <w:r>
        <w:rPr>
          <w:b/>
        </w:rPr>
        <w:t>Наблюдение 3 — решающий тест: контент, которого физически нет нигде, кроме ЭКО_2.</w:t>
      </w:r>
    </w:p>
    <w:p>
      <w:r>
        <w:t>15:35, тот же день. Задан вопрос, ответ на который гарантированно существует только в документе, добавленном в ЭКО_2 в этот же день (не мог присутствовать в коллекции eco, где самый свежий файл датирован 07.07.2026 — за два месяца до этого документа): «Что делать, если сырья на складе достаточно для наработки, но не хватает для комплектации по ФИФО?» Область поиска сужена до ЭКО_2.</w:t>
      </w:r>
    </w:p>
    <w:p>
      <w:r>
        <w:t>Результат: «Не найдено». Источники в ответе:</w:t>
      </w:r>
    </w:p>
    <w:p>
      <w:pPr>
        <w:pStyle w:val="ListNumber"/>
      </w:pPr>
      <w:r>
        <w:t>для теста ИИ (1)/И-08-03-09 Действия при нештатных ситуациях.doc — 56%</w:t>
      </w:r>
    </w:p>
    <w:p>
      <w:pPr>
        <w:pStyle w:val="ListNumber"/>
      </w:pPr>
      <w:r>
        <w:t>Datafortest07.07 (1).xlsx — 44%</w:t>
      </w:r>
    </w:p>
    <w:p>
      <w:pPr>
        <w:pStyle w:val="ListNumber"/>
      </w:pPr>
      <w:r>
        <w:t>user_guide_skeleton.md — 43%</w:t>
      </w:r>
    </w:p>
    <w:p>
      <w:r>
        <w:t>Ни один из трёх источников не относится к коллекции ЭКО_2, хотя релевантный контент там гарантированно есть, а сама коллекция полностью проиндексирована без ошибок (см. §2). Второй источник (Datafortest07.07.xlsx) — файл, ранее отдельно замеченный как аномалия цитирования в ре-тесте 12.09.2026 (вопрос про поля после фасовки, релевантность 64% — см. pilot-test-02-retest-protocol.md, §4). На тот момент было неясно, баг ли это отображения карточки источника или реально найденный документ. Данное наблюдение подтверждает: это реальный, retrievable файл на платформе, который систематически всплывает в выдаче по темам, никак с ним не связанным.</w:t>
      </w:r>
    </w:p>
    <w:p>
      <w:pPr>
        <w:pStyle w:val="Heading2"/>
      </w:pPr>
      <w:r>
        <w:t>4. Ожидаемое vs фактическое поведение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</w:p>
        </w:tc>
        <w:tc>
          <w:tcPr>
            <w:tcW w:type="dxa" w:w="2880"/>
          </w:tcPr>
          <w:p>
            <w:r>
              <w:rPr>
                <w:b/>
              </w:rPr>
              <w:t>Ожидаемое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Фактическое</w:t>
            </w:r>
          </w:p>
        </w:tc>
      </w:tr>
      <w:tr>
        <w:tc>
          <w:tcPr>
            <w:tcW w:type="dxa" w:w="2880"/>
          </w:tcPr>
          <w:p>
            <w:r>
              <w:t>Сужение области поиска до ЭКО_2</w:t>
            </w:r>
          </w:p>
        </w:tc>
        <w:tc>
          <w:tcPr>
            <w:tcW w:type="dxa" w:w="2880"/>
          </w:tcPr>
          <w:p>
            <w:r>
              <w:t>Retrieval ограничен документами коллекции ЭКО_2</w:t>
            </w:r>
          </w:p>
        </w:tc>
        <w:tc>
          <w:tcPr>
            <w:tcW w:type="dxa" w:w="2880"/>
          </w:tcPr>
          <w:p>
            <w:r>
              <w:t>Retrieval продолжает возвращать документы из eco и, судя по всему, других не связанных с доменом источников (Datafortest07.07.xlsx, user_guide_skeleton.md)</w:t>
            </w:r>
          </w:p>
        </w:tc>
      </w:tr>
      <w:tr>
        <w:tc>
          <w:tcPr>
            <w:tcW w:type="dxa" w:w="2880"/>
          </w:tcPr>
          <w:p>
            <w:r>
              <w:t>Смена коллекции в области поиска (ЭКО_2 → ЭКО) при одном и том же вопросе</w:t>
            </w:r>
          </w:p>
        </w:tc>
        <w:tc>
          <w:tcPr>
            <w:tcW w:type="dxa" w:w="2880"/>
          </w:tcPr>
          <w:p>
            <w:r>
              <w:t>Результат/источники меняются, если содержимое коллекций различается</w:t>
            </w:r>
          </w:p>
        </w:tc>
        <w:tc>
          <w:tcPr>
            <w:tcW w:type="dxa" w:w="2880"/>
          </w:tcPr>
          <w:p>
            <w:r>
              <w:t>Результат и источник идентичны</w:t>
            </w:r>
          </w:p>
        </w:tc>
      </w:tr>
      <w:tr>
        <w:tc>
          <w:tcPr>
            <w:tcW w:type="dxa" w:w="2880"/>
          </w:tcPr>
          <w:p>
            <w:r>
              <w:t>Контент, добавленный только в ЭКО_2</w:t>
            </w:r>
          </w:p>
        </w:tc>
        <w:tc>
          <w:tcPr>
            <w:tcW w:type="dxa" w:w="2880"/>
          </w:tcPr>
          <w:p>
            <w:r>
              <w:t>Должен находиться, когда область поиска сужена до ЭКО_2</w:t>
            </w:r>
          </w:p>
        </w:tc>
        <w:tc>
          <w:tcPr>
            <w:tcW w:type="dxa" w:w="2880"/>
          </w:tcPr>
          <w:p>
            <w:r>
              <w:t>Не найден; топ-3 источника не из ЭКО_2</w:t>
            </w:r>
          </w:p>
        </w:tc>
      </w:tr>
    </w:tbl>
    <w:p>
      <w:pPr>
        <w:pStyle w:val="Heading2"/>
      </w:pPr>
      <w:r>
        <w:t>5. Гипотезы о причине (для проверки разработчиком)</w:t>
      </w:r>
    </w:p>
    <w:p>
      <w:pPr>
        <w:pStyle w:val="ListNumber"/>
      </w:pPr>
      <w:r>
        <w:t>Фильтр коллекции не передаётся или не применяется в запросе к векторному хранилищу (Qdrant) — UI показывает сужение, но фактический retrieval-запрос не содержит ограничения по collection_id/аналогичному полю.</w:t>
      </w:r>
    </w:p>
    <w:p>
      <w:pPr>
        <w:pStyle w:val="ListNumber"/>
      </w:pPr>
      <w:r>
        <w:t>Скрытый fallback на более широкий поиск, когда в выбранной коллекции результат слабый или отсутствует — если так, это должно быть видно пользователю в интерфейсе (например, пометкой «результат вне выбранной области»), а не молча подменяться.</w:t>
      </w:r>
    </w:p>
    <w:p>
      <w:pPr>
        <w:pStyle w:val="ListNumber"/>
      </w:pPr>
      <w:r>
        <w:t>Datafortest07.07.xlsx и user_guide_skeleton.md проиндексированы вне обычных доменных/коллекционных границ — возможно, как часть какого-то общесистемного/служебного индекса, который подмешивается в выдачу независимо от настроек области поиска.</w:t>
      </w:r>
    </w:p>
    <w:p>
      <w:pPr>
        <w:pStyle w:val="Heading2"/>
      </w:pPr>
      <w:r>
        <w:t>6. Влияние</w:t>
      </w:r>
    </w:p>
    <w:p>
      <w:pPr>
        <w:pStyle w:val="ListBullet"/>
      </w:pPr>
      <w:r>
        <w:t>Блокирует диагностический тест на изолированной коллекции ЭКО_2, задуманный именно для того, чтобы отделить эффект от переконвертации документов от прочих факторов (retrieval/ранжирование) — см. instrukciya-test-eko-2.md и pilot-test-03-eco2-protocol.md.</w:t>
      </w:r>
    </w:p>
    <w:p>
      <w:pPr>
        <w:pStyle w:val="ListBullet"/>
      </w:pPr>
      <w:r>
        <w:t>Ставит под сомнение любой сценарий, где заказчик рассчитывает на изоляцию данных по коллекциям при поиске — не только для тестирования, но потенциально и в проде (например, разграничение по доменам/подразделениям).</w:t>
      </w:r>
    </w:p>
    <w:p>
      <w:pPr>
        <w:pStyle w:val="ListBullet"/>
      </w:pPr>
      <w:r>
        <w:t>Затрудняет диагностику прошлых аномалий пилота — наблюдавшиеся 12.09 «случайные» источники (Datafortest07.07.xlsx, «глоссарий») теперь выглядят не случайностью ранжирования, а системным следствием этого же бага.</w:t>
      </w:r>
    </w:p>
    <w:p>
      <w:pPr>
        <w:pStyle w:val="Heading2"/>
      </w:pPr>
      <w:r>
        <w:t>7. Что нужно от разработчика</w:t>
      </w:r>
    </w:p>
    <w:p>
      <w:pPr>
        <w:pStyle w:val="ListNumber"/>
      </w:pPr>
      <w:r>
        <w:t>Подтвердить или опровергнуть, что фильтр «Область поиска» → коллекция реально ограничивает retrieval-запрос.</w:t>
      </w:r>
    </w:p>
    <w:p>
      <w:pPr>
        <w:pStyle w:val="ListNumber"/>
      </w:pPr>
      <w:r>
        <w:t>Если фильтр работает штатно — объяснить, почему коллекция ЭКО_2 (27/27 документов, «Готово», 0 ошибок) не участвует в выдаче ни в одном из трёх наблюдений выше.</w:t>
      </w:r>
    </w:p>
    <w:p>
      <w:pPr>
        <w:pStyle w:val="ListNumber"/>
      </w:pPr>
      <w:r>
        <w:t>Прояснить происхождение и область индексации Datafortest07.07.xlsx и user_guide_skeleton.md — почему они всплывают по темам СМК-регламентов «Эко», не имеющим отношения к их вероятному содержимому.</w:t>
      </w:r>
    </w:p>
    <w:p>
      <w:pPr>
        <w:pStyle w:val="ListNumber"/>
      </w:pPr>
      <w:r>
        <w:t>После исправления — дать знать, чтобы повторить тест на ЭКО_2 (шаблон протокола и вопросы уже готовы, см. pilot-test-03-eco2-protocol.md, pilot-test-03-eco2-prioritet.md).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