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0"/>
        <w:outlineLvl w:val="0"/>
        <w:jc w:val="both"/>
      </w:pPr>
      <w:r>
        <w:rPr>
          <w:sz w:val="20"/>
        </w:rPr>
      </w:r>
    </w:p>
    <w:p>
      <w:pPr>
        <w:pStyle w:val="2"/>
        <w:jc w:val="center"/>
      </w:pPr>
      <w:r>
        <w:rPr>
          <w:sz w:val="20"/>
        </w:rPr>
        <w:t xml:space="preserve">МИНИСТЕРСТВО СТРОИТЕЛЬСТВА И ЖИЛИЩНО-КОММУНАЛЬНОГО</w:t>
      </w:r>
    </w:p>
    <w:p>
      <w:pPr>
        <w:pStyle w:val="2"/>
        <w:jc w:val="center"/>
      </w:pPr>
      <w:r>
        <w:rPr>
          <w:sz w:val="20"/>
        </w:rPr>
        <w:t xml:space="preserve">ХОЗЯЙСТВА РОССИЙСКОЙ ФЕДЕРАЦИИ</w:t>
      </w:r>
    </w:p>
    <w:p>
      <w:pPr>
        <w:pStyle w:val="2"/>
        <w:jc w:val="both"/>
      </w:pPr>
      <w:r>
        <w:rPr>
          <w:sz w:val="20"/>
        </w:rPr>
      </w:r>
    </w:p>
    <w:p>
      <w:pPr>
        <w:pStyle w:val="2"/>
        <w:jc w:val="center"/>
      </w:pPr>
      <w:r>
        <w:rPr>
          <w:sz w:val="20"/>
        </w:rPr>
        <w:t xml:space="preserve">ПИСЬМО</w:t>
      </w:r>
    </w:p>
    <w:p>
      <w:pPr>
        <w:pStyle w:val="2"/>
        <w:jc w:val="center"/>
      </w:pPr>
      <w:r>
        <w:rPr>
          <w:sz w:val="20"/>
        </w:rPr>
        <w:t xml:space="preserve">от 17 ноября 2017 г. N 50534-ОГ/04</w:t>
      </w:r>
    </w:p>
    <w:p>
      <w:pPr>
        <w:pStyle w:val="0"/>
        <w:jc w:val="both"/>
      </w:pPr>
      <w:r>
        <w:rPr>
          <w:sz w:val="20"/>
        </w:rPr>
      </w:r>
    </w:p>
    <w:p>
      <w:pPr>
        <w:pStyle w:val="0"/>
        <w:ind w:firstLine="540"/>
        <w:jc w:val="both"/>
      </w:pPr>
      <w:r>
        <w:rPr>
          <w:sz w:val="20"/>
        </w:rPr>
        <w:t xml:space="preserve">Департамент жилищно-коммунального хозяйства Минстроя России в пределах своей компетенции рассмотрел обращение и сообщает следующее.</w:t>
      </w:r>
    </w:p>
    <w:p>
      <w:pPr>
        <w:pStyle w:val="0"/>
        <w:spacing w:before="200" w:line-rule="auto"/>
        <w:ind w:firstLine="540"/>
        <w:jc w:val="both"/>
      </w:pPr>
      <w:r>
        <w:rPr>
          <w:sz w:val="20"/>
        </w:rPr>
        <w:t xml:space="preserve">Порядок перерасчета коммунальных ресурсов, потребляемых при использовании и содержании общего имущества в многоквартирном доме определен действующим законодательством.</w:t>
      </w:r>
    </w:p>
    <w:p>
      <w:pPr>
        <w:pStyle w:val="0"/>
        <w:spacing w:before="200" w:line-rule="auto"/>
        <w:ind w:firstLine="540"/>
        <w:jc w:val="both"/>
      </w:pPr>
      <w:r>
        <w:rPr>
          <w:sz w:val="20"/>
        </w:rPr>
        <w:t xml:space="preserve">В соответствии с </w:t>
      </w:r>
      <w:hyperlink w:history="0" r:id="rId6" w:tooltip="&quot;Жилищный кодекс Российской Федерации&quot; от 29.12.2004 N 188-ФЗ (ред. от 03.02.2025) (с изм. и доп., вступ. в силу с 01.03.2025) {КонсультантПлюс}">
        <w:r>
          <w:rPr>
            <w:sz w:val="20"/>
            <w:color w:val="0000ff"/>
          </w:rPr>
          <w:t xml:space="preserve">пунктом 9.2 статьи 156</w:t>
        </w:r>
      </w:hyperlink>
      <w:r>
        <w:rPr>
          <w:sz w:val="20"/>
        </w:rPr>
        <w:t xml:space="preserve"> Жилищного кодекса Российской Федерации размер расходов граждан и организаций в составе платы за содержание жилого помещения в многоквартирном доме на оплату коммунальных ресурсов, потребляемых при использовании и содержании общего имущества в многоквартирном доме, определяется при наличии коллективного (общедомового) прибора учета исходя из норматива потребления соответствующего вида коммунальных ресурсов, потребляемых при использовании и содержании общего имущества в многоквартирном доме, с проведением перерасчета размера таких расходов исходя из показаний коллективного (общедомового) прибора учета в порядке, установленном Правительством Российской Федерации. Исключения составляют случай оснащения многоквартирного дома автоматизированной информационно-измерительной системой учета потребления коммунальных ресурсов и коммунальных услуг, при котором размер расходов граждан и организаций в составе платы за содержание жилого помещения в многоквартирном доме на оплату коммунальных ресурсов, потребляемых при использовании и содержании общего имущества в многоквартирном доме, определяется исходя из показаний этой системы учета при условии обеспечения этой системой учета возможности одномоментного снятия показаний, а также случаи принятия на общем собрании собственников помещений в многоквартирном доме решения об определении размера расходов граждан и организаций в составе платы за содержание жилого помещения в многоквартирном доме на оплату коммунальных ресурсов, потребляемых при использовании и содержании общего имущества в многоквартирном доме:</w:t>
      </w:r>
    </w:p>
    <w:p>
      <w:pPr>
        <w:pStyle w:val="0"/>
        <w:spacing w:before="200" w:line-rule="auto"/>
        <w:ind w:firstLine="540"/>
        <w:jc w:val="both"/>
      </w:pPr>
      <w:r>
        <w:rPr>
          <w:sz w:val="20"/>
        </w:rPr>
        <w:t xml:space="preserve">1) исходя из среднемесячного объема потребления коммунальных ресурсов, потребляемых при использовании и содержании общего имущества в многоквартирном доме, с проведением перерасчета размера таких расходов исходя из показаний коллективного (общедомового) прибора учета в порядке, установленном Правительством Российской Федерации;</w:t>
      </w:r>
    </w:p>
    <w:p>
      <w:pPr>
        <w:pStyle w:val="0"/>
        <w:spacing w:before="200" w:line-rule="auto"/>
        <w:ind w:firstLine="540"/>
        <w:jc w:val="both"/>
      </w:pPr>
      <w:r>
        <w:rPr>
          <w:sz w:val="20"/>
        </w:rPr>
        <w:t xml:space="preserve">2) исходя из объема потребления коммунальных ресурсов, определяемого по показаниям коллективного (общедомового) прибора учета, по тарифам, установленным органами государственной власти субъектов Российской Федерации.</w:t>
      </w:r>
    </w:p>
    <w:p>
      <w:pPr>
        <w:pStyle w:val="0"/>
        <w:spacing w:before="200" w:line-rule="auto"/>
        <w:ind w:firstLine="540"/>
        <w:jc w:val="both"/>
      </w:pPr>
      <w:r>
        <w:rPr>
          <w:sz w:val="20"/>
        </w:rPr>
        <w:t xml:space="preserve">В соответствии с </w:t>
      </w:r>
      <w:hyperlink w:history="0" r:id="rId7"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пунктом 44</w:t>
        </w:r>
      </w:hyperlink>
      <w:r>
        <w:rPr>
          <w:sz w:val="20"/>
        </w:rPr>
        <w:t xml:space="preserve"> Правил предоставления коммунальных услуг собственникам и пользователям помещений в многоквартирных домах и жилых домов, утвержденных Постановлением Правительства РФ от 06.05.2011 N 354 (далее - Правила N 354) размер платы за коммунальную услугу, предоставленную на общедомовые нужды в случаях, установленных </w:t>
      </w:r>
      <w:hyperlink w:history="0" r:id="rId8"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пунктом 40</w:t>
        </w:r>
      </w:hyperlink>
      <w:r>
        <w:rPr>
          <w:sz w:val="20"/>
        </w:rPr>
        <w:t xml:space="preserve"> настоящих Правил, в многоквартирном доме, оборудованном коллективным (общедомовым) прибором учета, за исключением коммунальной услуги по отоплению, определяется в соответствии с </w:t>
      </w:r>
      <w:hyperlink w:history="0" r:id="rId9"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формулой 10</w:t>
        </w:r>
      </w:hyperlink>
      <w:r>
        <w:rPr>
          <w:sz w:val="20"/>
        </w:rPr>
        <w:t xml:space="preserve"> приложения N 2 к настоящим Правилам.</w:t>
      </w:r>
    </w:p>
    <w:p>
      <w:pPr>
        <w:pStyle w:val="0"/>
        <w:spacing w:before="200" w:line-rule="auto"/>
        <w:ind w:firstLine="540"/>
        <w:jc w:val="both"/>
      </w:pPr>
      <w:r>
        <w:rPr>
          <w:sz w:val="20"/>
        </w:rPr>
        <w:t xml:space="preserve">При этом распределяемый в соответствии с </w:t>
      </w:r>
      <w:hyperlink w:history="0" r:id="rId10"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формулами 11</w:t>
        </w:r>
      </w:hyperlink>
      <w:r>
        <w:rPr>
          <w:sz w:val="20"/>
        </w:rPr>
        <w:t xml:space="preserve"> - </w:t>
      </w:r>
      <w:hyperlink w:history="0" r:id="rId11"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14</w:t>
        </w:r>
      </w:hyperlink>
      <w:r>
        <w:rPr>
          <w:sz w:val="20"/>
        </w:rPr>
        <w:t xml:space="preserve"> приложения N 2 Правил N 354 между потребителями объем коммунальной услуги, предоставленной на общедомовые нужды за расчетный период, не может превышать объема коммунальной услуги, рассчитанного исходя из нормативов потребления соответствующего коммунального ресурса в целях содержания общего имущества в многоквартирном доме, за исключением случаев, если общим собранием собственников помещений в многоквартирном доме, проведенным в установленном порядке, принято решение о распределении объема коммунальной услуги в размере превышения объема коммунальной услуги, предоставленной на общедомовые нужды, определенного исходя из показаний коллективного (общедомового) прибора учета, над объемом, рассчитанным исходя из нормативов потребления коммунального ресурса в целях содержания общего имущества в многоквартирном доме, между всеми жилыми и нежилыми помещениями пропорционально размеру общей площади каждого жилого и нежилого помещения.</w:t>
      </w:r>
    </w:p>
    <w:p>
      <w:pPr>
        <w:pStyle w:val="0"/>
        <w:spacing w:before="200" w:line-rule="auto"/>
        <w:ind w:firstLine="540"/>
        <w:jc w:val="both"/>
      </w:pPr>
      <w:hyperlink w:history="0" r:id="rId12"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Пунктом 45</w:t>
        </w:r>
      </w:hyperlink>
      <w:r>
        <w:rPr>
          <w:sz w:val="20"/>
        </w:rPr>
        <w:t xml:space="preserve"> Правил N 354 предусмотрено, что если объем коммунальной услуги, предоставленной за расчетный период на общедомовые нужды, составит ноль, то плата за соответствующий вид коммунальной услуги, предоставленной на общедомовые нужды, определенная в соответствии с </w:t>
      </w:r>
      <w:hyperlink w:history="0" r:id="rId13" w:tooltip="Постановление Правительства РФ от 06.05.2011 N 354 (ред. от 29.08.2024) &quot;О предоставлении коммунальных услуг собственникам и пользователям помещений в многоквартирных домах и жилых домов&quot; (вместе с &quot;Правилами предоставления коммунальных услуг собственникам и пользователям помещений в многоквартирных домах и жилых домов&quot;) {КонсультантПлюс}">
        <w:r>
          <w:rPr>
            <w:sz w:val="20"/>
            <w:color w:val="0000ff"/>
          </w:rPr>
          <w:t xml:space="preserve">пунктом 44</w:t>
        </w:r>
      </w:hyperlink>
      <w:r>
        <w:rPr>
          <w:sz w:val="20"/>
        </w:rPr>
        <w:t xml:space="preserve"> Правил N 354, за такой расчетный период потребителям не начисляется.</w:t>
      </w:r>
    </w:p>
    <w:p>
      <w:pPr>
        <w:pStyle w:val="0"/>
        <w:spacing w:before="200" w:line-rule="auto"/>
        <w:ind w:firstLine="540"/>
        <w:jc w:val="both"/>
      </w:pPr>
      <w:r>
        <w:rPr>
          <w:sz w:val="20"/>
        </w:rPr>
        <w:t xml:space="preserve">Таким образом, исходя из действующего законодательства, плата рассчитывается как разница между показаниями общедомового прибора учета и суммой показаний индивидуальных приборов учета и (или) нормативов потребления коммунальных услуг. Полученный фактический объем потребления коммунальных услуг на общедомовые нужды распределяется между всеми собственниками помещений в многоквартирном доме пропорционально их доле в праве общей долевой собственности на общее имущество в многоквартирном доме. Расчет производится следующим образом:</w:t>
      </w:r>
    </w:p>
    <w:p>
      <w:pPr>
        <w:pStyle w:val="0"/>
        <w:spacing w:before="200" w:line-rule="auto"/>
        <w:ind w:firstLine="540"/>
        <w:jc w:val="both"/>
      </w:pPr>
      <w:r>
        <w:rPr>
          <w:sz w:val="20"/>
        </w:rPr>
        <w:t xml:space="preserve">- снимаются показания общедомовых приборов учета,</w:t>
      </w:r>
    </w:p>
    <w:p>
      <w:pPr>
        <w:pStyle w:val="0"/>
        <w:spacing w:before="200" w:line-rule="auto"/>
        <w:ind w:firstLine="540"/>
        <w:jc w:val="both"/>
      </w:pPr>
      <w:r>
        <w:rPr>
          <w:sz w:val="20"/>
        </w:rPr>
        <w:t xml:space="preserve">- считается объем услуг по индивидуальным счетчикам,</w:t>
      </w:r>
    </w:p>
    <w:p>
      <w:pPr>
        <w:pStyle w:val="0"/>
        <w:spacing w:before="200" w:line-rule="auto"/>
        <w:ind w:firstLine="540"/>
        <w:jc w:val="both"/>
      </w:pPr>
      <w:r>
        <w:rPr>
          <w:sz w:val="20"/>
        </w:rPr>
        <w:t xml:space="preserve">- находится разница между общим и индивидуальным потреблением,</w:t>
      </w:r>
    </w:p>
    <w:p>
      <w:pPr>
        <w:pStyle w:val="0"/>
        <w:spacing w:before="200" w:line-rule="auto"/>
        <w:ind w:firstLine="540"/>
        <w:jc w:val="both"/>
      </w:pPr>
      <w:r>
        <w:rPr>
          <w:sz w:val="20"/>
        </w:rPr>
        <w:t xml:space="preserve">- полученная разница сравнивается с нормативом потребления.</w:t>
      </w:r>
    </w:p>
    <w:p>
      <w:pPr>
        <w:pStyle w:val="0"/>
        <w:spacing w:before="200" w:line-rule="auto"/>
        <w:ind w:firstLine="540"/>
        <w:jc w:val="both"/>
      </w:pPr>
      <w:r>
        <w:rPr>
          <w:sz w:val="20"/>
        </w:rPr>
        <w:t xml:space="preserve">Если разница больше, между жильцами распределяется только норматив, превышение оплачивает управляющая организация.</w:t>
      </w:r>
    </w:p>
    <w:p>
      <w:pPr>
        <w:pStyle w:val="0"/>
        <w:spacing w:before="200" w:line-rule="auto"/>
        <w:ind w:firstLine="540"/>
        <w:jc w:val="both"/>
      </w:pPr>
      <w:r>
        <w:rPr>
          <w:sz w:val="20"/>
        </w:rPr>
        <w:t xml:space="preserve">Если разница меньше, то начисление производится по фактическому объему потребления.</w:t>
      </w:r>
    </w:p>
    <w:p>
      <w:pPr>
        <w:pStyle w:val="0"/>
        <w:spacing w:before="200" w:line-rule="auto"/>
        <w:ind w:firstLine="540"/>
        <w:jc w:val="both"/>
      </w:pPr>
      <w:r>
        <w:rPr>
          <w:sz w:val="20"/>
        </w:rPr>
        <w:t xml:space="preserve">На основании вышеизложенного, размер превышения объема коммунальной услуги, предоставленный на общедомовые нужды, определенный исходя из показаний коллективного (общедомового) прибора учета, над объемом, рассчитанным исходя из нормативов потребления коммунальной услуги, предоставленной на общедомовые нужды в многоквартирном доме, оплачивает управляющая организация.</w:t>
      </w:r>
    </w:p>
    <w:p>
      <w:pPr>
        <w:pStyle w:val="0"/>
        <w:spacing w:before="200" w:line-rule="auto"/>
        <w:ind w:firstLine="540"/>
        <w:jc w:val="both"/>
      </w:pPr>
      <w:r>
        <w:rPr>
          <w:sz w:val="20"/>
        </w:rPr>
        <w:t xml:space="preserve">В своих письмах Минстрой России дает разъяснения по применению правовых норм, регулирующих работу определенной отрасли, то есть излагает свою экспертную позицию относительно конкретной правовой нормы.</w:t>
      </w:r>
    </w:p>
    <w:p>
      <w:pPr>
        <w:pStyle w:val="0"/>
        <w:spacing w:before="200" w:line-rule="auto"/>
        <w:ind w:firstLine="540"/>
        <w:jc w:val="both"/>
      </w:pPr>
      <w:r>
        <w:rPr>
          <w:sz w:val="20"/>
        </w:rPr>
        <w:t xml:space="preserve">Позиция Минстроя России, изложенная в ответах заявителям, является аргументацией, а не вещественным доказательством при разрешении спорных вопросов между участниками отношений, а органы судебной власти, в силу их независимости, самостоятельно осуществляют оценку и толкование правовых норм.</w:t>
      </w:r>
    </w:p>
    <w:p>
      <w:pPr>
        <w:pStyle w:val="0"/>
        <w:spacing w:before="200" w:line-rule="auto"/>
        <w:ind w:firstLine="540"/>
        <w:jc w:val="both"/>
      </w:pPr>
      <w:r>
        <w:rPr>
          <w:sz w:val="20"/>
        </w:rPr>
        <w:t xml:space="preserve">Таким образом, письма Минстроя России не являются нормативными правовыми актами и содержащиеся в них разъяснения законодательства носят исключительно рекомендательный характер.</w:t>
      </w:r>
    </w:p>
    <w:p>
      <w:pPr>
        <w:pStyle w:val="0"/>
        <w:spacing w:before="200" w:line-rule="auto"/>
        <w:ind w:firstLine="540"/>
        <w:jc w:val="both"/>
      </w:pPr>
      <w:r>
        <w:rPr>
          <w:sz w:val="20"/>
        </w:rPr>
        <w:t xml:space="preserve">Минстрой России приносит свои извинения за задержку ответа.</w:t>
      </w:r>
    </w:p>
    <w:p>
      <w:pPr>
        <w:pStyle w:val="0"/>
        <w:jc w:val="both"/>
      </w:pPr>
      <w:r>
        <w:rPr>
          <w:sz w:val="20"/>
        </w:rPr>
      </w:r>
    </w:p>
    <w:p>
      <w:pPr>
        <w:pStyle w:val="0"/>
        <w:jc w:val="right"/>
      </w:pPr>
      <w:r>
        <w:rPr>
          <w:sz w:val="20"/>
        </w:rPr>
        <w:t xml:space="preserve">Директор Департамента</w:t>
      </w:r>
    </w:p>
    <w:p>
      <w:pPr>
        <w:pStyle w:val="0"/>
        <w:jc w:val="right"/>
      </w:pPr>
      <w:r>
        <w:rPr>
          <w:sz w:val="20"/>
        </w:rPr>
        <w:t xml:space="preserve">жилищно-коммунального хозяйства</w:t>
      </w:r>
    </w:p>
    <w:p>
      <w:pPr>
        <w:pStyle w:val="0"/>
        <w:jc w:val="right"/>
      </w:pPr>
      <w:r>
        <w:rPr>
          <w:sz w:val="20"/>
        </w:rPr>
        <w:t xml:space="preserve">Е.П.СОЛНЦЕВА</w:t>
      </w:r>
    </w:p>
    <w:p>
      <w:pPr>
        <w:pStyle w:val="0"/>
        <w:jc w:val="both"/>
      </w:pPr>
      <w:r>
        <w:rPr>
          <w:sz w:val="20"/>
        </w:rPr>
      </w:r>
    </w:p>
    <w:p>
      <w:pPr>
        <w:pStyle w:val="0"/>
        <w:jc w:val="both"/>
      </w:pPr>
      <w:r>
        <w:rPr>
          <w:sz w:val="20"/>
        </w:rPr>
      </w:r>
    </w:p>
    <w:p>
      <w:pPr>
        <w:pStyle w:val="0"/>
        <w:jc w:val="both"/>
        <w:pBdr>
          <w:bottom w:val="single" w:sz="6" w:space="0" w:color="auto"/>
        </w:pBdr>
        <w:spacing w:before="100" w:after="100"/>
        <w:rPr>
          <w:sz w:val="2"/>
          <w:szCs w:val="2"/>
        </w:rPr>
      </w:pPr>
    </w:p>
    <w:sectPr>
      <w:headerReference w:type="default" r:id="rId2"/>
      <w:headerReference w:type="first" r:id="rId3"/>
      <w:footerReference w:type="default" r:id="rId5"/>
      <w:footerReference w:type="first" r:id="rId5"/>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&lt;Письмо&gt; Минстроя России от 17.11.2017 N 50534-ОГ/04</w:t>
            <w:br/>
            <w:t>&lt;О порядке перерасчета коммунальных ресурсов&gt;</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17.06.2025</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drawing>
              <wp:inline distT="0" distB="0" distL="0" distR="0">
                <wp:extent cx="1910715" cy="4457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1910715" cy="445770"/>
                        </a:xfrm>
                        <a:prstGeom prst="rect">
                          <a:avLst/>
                        </a:prstGeom>
                        <a:noFill/>
                        <a:ln>
                          <a:noFill/>
                        </a:ln>
                      </pic:spPr>
                    </pic:pic>
                  </a:graphicData>
                </a:graphic>
              </wp:inline>
            </w:drawing>
          </w:r>
          <w:r>
            <w:rPr>
              <w:rFonts w:ascii="Tahoma" w:hAnsi="Tahoma" w:cs="Tahoma"/>
              <w:sz w:val="18"/>
              <w:szCs w:val="18"/>
            </w:rPr>
            <w:br/>
          </w:r>
          <w:r>
            <w:rPr>
              <w:rFonts w:ascii="Tahoma" w:hAnsi="Tahoma" w:cs="Tahoma"/>
              <w:sz w:val="16"/>
              <w:szCs w:val="16"/>
            </w:rPr>
            <w:t>&lt;Письмо&gt; Минстроя России от 17.11.2017 N 50534-ОГ/04 &lt;О порядке перерасчета коммунальных ресурсов&gt;</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17.06.2025</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Arial" w:hAnsi="Arial" w:cs="Arial"/>
      <w:sz w:val="20"/>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0"/>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Courier New" w:hAnsi="Courier New" w:cs="Courier New"/>
      <w:sz w:val="20"/>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Arial" w:hAnsi="Arial" w:cs="Arial"/>
      <w:sz w:val="20"/>
    </w:rPr>
  </w:style>
  <w:style w:type="paragraph" w:customStyle="1" w:styleId="8">
    <w:name w:val="ConsPlusTextList"/>
    <w:pPr>
      <w:widowControl w:val="0"/>
      <w:autoSpaceDE w:val="0"/>
      <w:autoSpaceDN w:val="0"/>
    </w:pPr>
    <w:rPr>
      <w:rFonts w:ascii="Arial" w:hAnsi="Arial" w:cs="Arial"/>
      <w:sz w:val="20"/>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header" Target="header2.xml"/>
	<Relationship Id="rId4" Type="http://schemas.openxmlformats.org/officeDocument/2006/relationships/image" Target="media/image1.png"/>
	<Relationship Id="rId5" Type="http://schemas.openxmlformats.org/officeDocument/2006/relationships/footer" Target="footer1.xml"/>
	<Relationship Id="rId6" Type="http://schemas.openxmlformats.org/officeDocument/2006/relationships/hyperlink" Target="https://login.consultant.ru/link/?req=doc&amp;base=LAW&amp;n=493210&amp;dst=687" TargetMode = "External"/>
	<Relationship Id="rId7" Type="http://schemas.openxmlformats.org/officeDocument/2006/relationships/hyperlink" Target="https://login.consultant.ru/link/?req=doc&amp;base=LAW&amp;n=485337&amp;dst=101248" TargetMode = "External"/>
	<Relationship Id="rId8" Type="http://schemas.openxmlformats.org/officeDocument/2006/relationships/hyperlink" Target="https://login.consultant.ru/link/?req=doc&amp;base=LAW&amp;n=485337&amp;dst=101236" TargetMode = "External"/>
	<Relationship Id="rId9" Type="http://schemas.openxmlformats.org/officeDocument/2006/relationships/hyperlink" Target="https://login.consultant.ru/link/?req=doc&amp;base=LAW&amp;n=485337&amp;dst=100684" TargetMode = "External"/>
	<Relationship Id="rId10" Type="http://schemas.openxmlformats.org/officeDocument/2006/relationships/hyperlink" Target="https://login.consultant.ru/link/?req=doc&amp;base=LAW&amp;n=485337&amp;dst=100689" TargetMode = "External"/>
	<Relationship Id="rId11" Type="http://schemas.openxmlformats.org/officeDocument/2006/relationships/hyperlink" Target="https://login.consultant.ru/link/?req=doc&amp;base=LAW&amp;n=485337&amp;dst=100721" TargetMode = "External"/>
	<Relationship Id="rId12" Type="http://schemas.openxmlformats.org/officeDocument/2006/relationships/hyperlink" Target="https://login.consultant.ru/link/?req=doc&amp;base=LAW&amp;n=485337&amp;dst=101252" TargetMode = "External"/>
	<Relationship Id="rId13" Type="http://schemas.openxmlformats.org/officeDocument/2006/relationships/hyperlink" Target="https://login.consultant.ru/link/?req=doc&amp;base=LAW&amp;n=485337&amp;dst=101248" TargetMode = "External"/>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2.xml.rels>&#65279;<?xml version="1.0" encoding="UTF-8" standalone="yes"?>
<Relationships xmlns="http://schemas.openxmlformats.org/package/2006/relationships">
	<Relationship Id="rId1" Type="http://schemas.openxmlformats.org/officeDocument/2006/relationships/hyperlink" Target="https://www.consultant.ru" TargetMode = "External"/>
	<Relationship Id="rId2"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Application>КонсультантПлюс Версия 4025.00.09</Application>
  <Company>КонсультантПлюс Версия 4025.00.09</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&lt;Письмо&gt; Минстроя России от 17.11.2017 N 50534-ОГ/04
&lt;О порядке перерасчета коммунальных ресурсов&gt;</dc:title>
  <dcterms:created xsi:type="dcterms:W3CDTF">2025-06-17T12:42:50Z</dcterms:created>
</cp:coreProperties>
</file>