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9D0BF2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0B20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0F14F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uređivanje naloga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9D0BF2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0B20A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0F14F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uređivanje naloga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9D0BF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0B68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9D0BF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0B6881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E55ECE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6366F5" w:rsidRDefault="006366F5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Miodrag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Milo</w:t>
            </w: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>šević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7E3016" w:rsidRDefault="00840ACC" w:rsidP="00DA16F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Definisanje scenarija upotrebe </w:t>
      </w:r>
      <w:r w:rsidR="007E3016">
        <w:rPr>
          <w:rFonts w:ascii="Times New Roman" w:hAnsi="Times New Roman" w:cs="Times New Roman"/>
        </w:rPr>
        <w:t xml:space="preserve">pri </w:t>
      </w:r>
      <w:r w:rsidR="00A444FB">
        <w:rPr>
          <w:rFonts w:ascii="Times New Roman" w:hAnsi="Times New Roman" w:cs="Times New Roman"/>
        </w:rPr>
        <w:t>uređivanju naloga</w:t>
      </w:r>
      <w:r w:rsidR="000F4932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5E9F" w:rsidRDefault="008A02CA" w:rsidP="0085006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8A02CA">
        <w:rPr>
          <w:rFonts w:ascii="Times New Roman" w:hAnsi="Times New Roman" w:cs="Times New Roman"/>
        </w:rPr>
        <w:t>Korisnik može da odredjene informacije o sebi koje se prikazuju na njegovom javnom profilu menja, kao i opšte podatke o svom nalogu, poput promene šifre, e-mail-a i slično.</w:t>
      </w:r>
    </w:p>
    <w:p w:rsidR="00274BCA" w:rsidRDefault="00C747A1" w:rsidP="007624BD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Pr="00C747A1" w:rsidRDefault="007624BD" w:rsidP="00C75E9F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22F6">
        <w:rPr>
          <w:rFonts w:ascii="Times New Roman" w:hAnsi="Times New Roman" w:cs="Times New Roman"/>
        </w:rPr>
        <w:t>.</w:t>
      </w:r>
      <w:r w:rsidR="006022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mora biti ulogovan.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917BED" w:rsidRPr="00917BED">
        <w:rPr>
          <w:rFonts w:ascii="Times New Roman" w:hAnsi="Times New Roman" w:cs="Times New Roman"/>
        </w:rPr>
        <w:t>Korisnik je uspešno promenio neki(e) podatak(ke) o sebi</w:t>
      </w:r>
      <w:r w:rsidR="007624BD">
        <w:rPr>
          <w:rFonts w:ascii="Times New Roman" w:hAnsi="Times New Roman" w:cs="Times New Roman"/>
        </w:rPr>
        <w:t>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757DEF">
        <w:rPr>
          <w:rFonts w:ascii="Times New Roman" w:hAnsi="Times New Roman" w:cs="Times New Roman"/>
        </w:rPr>
        <w:t>Korisnik</w:t>
      </w:r>
    </w:p>
    <w:p w:rsidR="006100EB" w:rsidRPr="006100EB" w:rsidRDefault="008F7C48" w:rsidP="006100EB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35695D" w:rsidRPr="006100EB" w:rsidRDefault="00977853" w:rsidP="0035695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Potrebni podaci koji se menjaju</w:t>
      </w:r>
    </w:p>
    <w:p w:rsidR="006100EB" w:rsidRPr="0035695D" w:rsidRDefault="0035695D" w:rsidP="0035695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uspehu</w:t>
      </w:r>
      <w:proofErr w:type="spellEnd"/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Aktor otvara dijalog za uredjivanje profila i naloga pomoću odgovarajuće opcije</w:t>
      </w:r>
    </w:p>
    <w:p w:rsidR="00FD63E8" w:rsidRDefault="00FD63E8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Klijent otvara dijalog za uredjivanje profila i naloga</w:t>
      </w:r>
    </w:p>
    <w:p w:rsidR="007A4C4C" w:rsidRDefault="007A4C4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736A5"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Aktor unosi podatke koje želi da menja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736A5"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Aktor potvrdjuje unos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736A5"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Klijent šalje serveru promenjene podatke</w:t>
      </w:r>
    </w:p>
    <w:p w:rsidR="009672F2" w:rsidRDefault="009672F2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Server prihvata i menja podatke u bazi</w:t>
      </w:r>
    </w:p>
    <w:p w:rsidR="00806CFB" w:rsidRPr="00FD63E8" w:rsidRDefault="005612B4" w:rsidP="0068555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="00685555" w:rsidRPr="00685555">
        <w:rPr>
          <w:rFonts w:ascii="Times New Roman" w:hAnsi="Times New Roman" w:cs="Times New Roman"/>
        </w:rPr>
        <w:t>Server vraća odgovor 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EE0095">
        <w:rPr>
          <w:rFonts w:ascii="Times New Roman" w:hAnsi="Times New Roman" w:cs="Times New Roman"/>
        </w:rPr>
        <w:t>3.1.</w:t>
      </w:r>
      <w:r>
        <w:rPr>
          <w:rFonts w:ascii="Times New Roman" w:hAnsi="Times New Roman" w:cs="Times New Roman"/>
        </w:rPr>
        <w:tab/>
      </w:r>
      <w:r w:rsidRPr="00EE0095">
        <w:rPr>
          <w:rFonts w:ascii="Times New Roman" w:hAnsi="Times New Roman" w:cs="Times New Roman"/>
        </w:rPr>
        <w:t>?Aktor unosi ime u odgovarajuće polje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3.2.</w:t>
      </w:r>
      <w:r>
        <w:rPr>
          <w:rFonts w:ascii="Times New Roman" w:hAnsi="Times New Roman" w:cs="Times New Roman"/>
        </w:rPr>
        <w:tab/>
      </w:r>
      <w:r w:rsidRPr="00EE0095">
        <w:rPr>
          <w:rFonts w:ascii="Times New Roman" w:hAnsi="Times New Roman" w:cs="Times New Roman"/>
        </w:rPr>
        <w:t>?Aktor unosi prezime u odgovarajuće polje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3.3.</w:t>
      </w:r>
      <w:r>
        <w:rPr>
          <w:rFonts w:ascii="Times New Roman" w:hAnsi="Times New Roman" w:cs="Times New Roman"/>
        </w:rPr>
        <w:tab/>
      </w:r>
      <w:r w:rsidRPr="00EE0095">
        <w:rPr>
          <w:rFonts w:ascii="Times New Roman" w:hAnsi="Times New Roman" w:cs="Times New Roman"/>
        </w:rPr>
        <w:t>?Aktor unosi e-mail u odgovarajuće polje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3.4.</w:t>
      </w:r>
      <w:r>
        <w:rPr>
          <w:rFonts w:ascii="Times New Roman" w:hAnsi="Times New Roman" w:cs="Times New Roman"/>
        </w:rPr>
        <w:tab/>
      </w:r>
      <w:r w:rsidRPr="00EE0095">
        <w:rPr>
          <w:rFonts w:ascii="Times New Roman" w:hAnsi="Times New Roman" w:cs="Times New Roman"/>
        </w:rPr>
        <w:t>?Aktor unosi šifru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3.4.1.</w:t>
      </w:r>
      <w:r>
        <w:rPr>
          <w:rFonts w:ascii="Times New Roman" w:hAnsi="Times New Roman" w:cs="Times New Roman"/>
        </w:rPr>
        <w:tab/>
      </w:r>
      <w:r w:rsidRPr="00EE0095">
        <w:rPr>
          <w:rFonts w:ascii="Times New Roman" w:hAnsi="Times New Roman" w:cs="Times New Roman"/>
        </w:rPr>
        <w:t>?Aktor unosi staru šifru u odgovarajuće polje</w:t>
      </w:r>
    </w:p>
    <w:p w:rsid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3.4.2.</w:t>
      </w:r>
      <w:r>
        <w:rPr>
          <w:rFonts w:ascii="Times New Roman" w:hAnsi="Times New Roman" w:cs="Times New Roman"/>
        </w:rPr>
        <w:tab/>
      </w:r>
      <w:r w:rsidRPr="00EE0095">
        <w:rPr>
          <w:rFonts w:ascii="Times New Roman" w:hAnsi="Times New Roman" w:cs="Times New Roman"/>
        </w:rPr>
        <w:t>?Aktor unosi novu šifru u odgovarajuće polje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4a.-  Aktor uneo pogresnu staru šifru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4a.1.- Ispisuje se poruka o neuspehu promene SVIH podataka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4a.2.- Prelazi se na korak 2.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4b.-  Aktor uneo staru šifru a polje za novu šifru nije popunio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4b.1.- Ispisuje se poruka o neuspehu promene SVIH podataka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4b.2.- Prelazi se na korak 2.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4c.-  Aktor uneo novu šifru a polje za staru šifru nije popunio</w:t>
      </w:r>
    </w:p>
    <w:p w:rsidR="00EE0095" w:rsidRPr="00EE0095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4c.1.- Ispisuje se poruka o neuspehu promene SVIH podataka</w:t>
      </w:r>
    </w:p>
    <w:p w:rsidR="006100EB" w:rsidRPr="006100EB" w:rsidRDefault="00EE0095" w:rsidP="00EE009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EE0095">
        <w:rPr>
          <w:rFonts w:ascii="Times New Roman" w:hAnsi="Times New Roman" w:cs="Times New Roman"/>
        </w:rPr>
        <w:t>4c.2.- Prelazi se na korak 2.</w:t>
      </w:r>
    </w:p>
    <w:sectPr w:rsidR="006100EB" w:rsidRPr="006100EB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BF2" w:rsidRDefault="009D0BF2" w:rsidP="007A7841">
      <w:pPr>
        <w:spacing w:after="0" w:line="240" w:lineRule="auto"/>
      </w:pPr>
      <w:r>
        <w:separator/>
      </w:r>
    </w:p>
  </w:endnote>
  <w:endnote w:type="continuationSeparator" w:id="0">
    <w:p w:rsidR="009D0BF2" w:rsidRDefault="009D0BF2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E009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0F14F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uređivanje naloga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BF2" w:rsidRDefault="009D0BF2" w:rsidP="007A7841">
      <w:pPr>
        <w:spacing w:after="0" w:line="240" w:lineRule="auto"/>
      </w:pPr>
      <w:r>
        <w:separator/>
      </w:r>
    </w:p>
  </w:footnote>
  <w:footnote w:type="continuationSeparator" w:id="0">
    <w:p w:rsidR="009D0BF2" w:rsidRDefault="009D0BF2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A8C"/>
    <w:multiLevelType w:val="hybridMultilevel"/>
    <w:tmpl w:val="5688FC4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7AA"/>
    <w:multiLevelType w:val="hybridMultilevel"/>
    <w:tmpl w:val="70D86EF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20A3"/>
    <w:rsid w:val="000B31E6"/>
    <w:rsid w:val="000B498A"/>
    <w:rsid w:val="000B4B74"/>
    <w:rsid w:val="000B6881"/>
    <w:rsid w:val="000D7D1A"/>
    <w:rsid w:val="000E18AC"/>
    <w:rsid w:val="000E25CB"/>
    <w:rsid w:val="000F0CF8"/>
    <w:rsid w:val="000F14FF"/>
    <w:rsid w:val="000F4932"/>
    <w:rsid w:val="00133D23"/>
    <w:rsid w:val="00152B2D"/>
    <w:rsid w:val="001643F8"/>
    <w:rsid w:val="00171684"/>
    <w:rsid w:val="00183155"/>
    <w:rsid w:val="001B18A7"/>
    <w:rsid w:val="001C2556"/>
    <w:rsid w:val="00201106"/>
    <w:rsid w:val="00226170"/>
    <w:rsid w:val="00233D3B"/>
    <w:rsid w:val="00255AF9"/>
    <w:rsid w:val="002666CC"/>
    <w:rsid w:val="002749B5"/>
    <w:rsid w:val="00274BCA"/>
    <w:rsid w:val="00276F31"/>
    <w:rsid w:val="0027744B"/>
    <w:rsid w:val="0029484E"/>
    <w:rsid w:val="002C0DA2"/>
    <w:rsid w:val="002D5330"/>
    <w:rsid w:val="002F143F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5695D"/>
    <w:rsid w:val="00360C27"/>
    <w:rsid w:val="00382078"/>
    <w:rsid w:val="00385EDC"/>
    <w:rsid w:val="003964DD"/>
    <w:rsid w:val="003B0336"/>
    <w:rsid w:val="003B7819"/>
    <w:rsid w:val="003C3A30"/>
    <w:rsid w:val="003D2C8E"/>
    <w:rsid w:val="003F4900"/>
    <w:rsid w:val="00413971"/>
    <w:rsid w:val="00420296"/>
    <w:rsid w:val="004214A9"/>
    <w:rsid w:val="0042153B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5240E"/>
    <w:rsid w:val="005612B4"/>
    <w:rsid w:val="005B142B"/>
    <w:rsid w:val="005B2873"/>
    <w:rsid w:val="005C0C30"/>
    <w:rsid w:val="005C0EE4"/>
    <w:rsid w:val="005E08C6"/>
    <w:rsid w:val="005F5639"/>
    <w:rsid w:val="006022F6"/>
    <w:rsid w:val="006044FB"/>
    <w:rsid w:val="006048F6"/>
    <w:rsid w:val="00607E1B"/>
    <w:rsid w:val="006100EB"/>
    <w:rsid w:val="0061565F"/>
    <w:rsid w:val="00631A0E"/>
    <w:rsid w:val="006366F5"/>
    <w:rsid w:val="00637EDF"/>
    <w:rsid w:val="00647195"/>
    <w:rsid w:val="00650D2D"/>
    <w:rsid w:val="0065511E"/>
    <w:rsid w:val="00655840"/>
    <w:rsid w:val="0067526A"/>
    <w:rsid w:val="00685555"/>
    <w:rsid w:val="006A76FB"/>
    <w:rsid w:val="006E342B"/>
    <w:rsid w:val="006F115B"/>
    <w:rsid w:val="0070210B"/>
    <w:rsid w:val="00703F80"/>
    <w:rsid w:val="00737016"/>
    <w:rsid w:val="00744FF5"/>
    <w:rsid w:val="00757DEF"/>
    <w:rsid w:val="007624BD"/>
    <w:rsid w:val="0077078D"/>
    <w:rsid w:val="00777FDB"/>
    <w:rsid w:val="00792C72"/>
    <w:rsid w:val="007A4C4C"/>
    <w:rsid w:val="007A7498"/>
    <w:rsid w:val="007A7841"/>
    <w:rsid w:val="007B48A2"/>
    <w:rsid w:val="007E3016"/>
    <w:rsid w:val="00800922"/>
    <w:rsid w:val="00800DF4"/>
    <w:rsid w:val="008065B2"/>
    <w:rsid w:val="00806CFB"/>
    <w:rsid w:val="0080759C"/>
    <w:rsid w:val="008166B8"/>
    <w:rsid w:val="00823DE2"/>
    <w:rsid w:val="00823FC6"/>
    <w:rsid w:val="00840ACC"/>
    <w:rsid w:val="00850060"/>
    <w:rsid w:val="00871480"/>
    <w:rsid w:val="008A02CA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17BED"/>
    <w:rsid w:val="00966FED"/>
    <w:rsid w:val="009672F2"/>
    <w:rsid w:val="00971B9F"/>
    <w:rsid w:val="00977853"/>
    <w:rsid w:val="00985807"/>
    <w:rsid w:val="009A3ED1"/>
    <w:rsid w:val="009B2454"/>
    <w:rsid w:val="009B2B1D"/>
    <w:rsid w:val="009D0BF2"/>
    <w:rsid w:val="009F01A0"/>
    <w:rsid w:val="009F6953"/>
    <w:rsid w:val="00A111C5"/>
    <w:rsid w:val="00A130A1"/>
    <w:rsid w:val="00A279F4"/>
    <w:rsid w:val="00A40A0F"/>
    <w:rsid w:val="00A42420"/>
    <w:rsid w:val="00A430CA"/>
    <w:rsid w:val="00A444FB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3A9E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3CF0"/>
    <w:rsid w:val="00B31F89"/>
    <w:rsid w:val="00B330DF"/>
    <w:rsid w:val="00B34970"/>
    <w:rsid w:val="00B55883"/>
    <w:rsid w:val="00B57419"/>
    <w:rsid w:val="00B6000F"/>
    <w:rsid w:val="00B773D6"/>
    <w:rsid w:val="00B82C6D"/>
    <w:rsid w:val="00B84F4F"/>
    <w:rsid w:val="00B85A77"/>
    <w:rsid w:val="00B87B3B"/>
    <w:rsid w:val="00B907B5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08F"/>
    <w:rsid w:val="00C54CC4"/>
    <w:rsid w:val="00C6654D"/>
    <w:rsid w:val="00C73291"/>
    <w:rsid w:val="00C747A1"/>
    <w:rsid w:val="00C75E9F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1598"/>
    <w:rsid w:val="00E538B7"/>
    <w:rsid w:val="00E55ECE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0095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6608A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7E21E2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21730"/>
    <w:rsid w:val="000F691F"/>
    <w:rsid w:val="001A0B7C"/>
    <w:rsid w:val="005A3B70"/>
    <w:rsid w:val="00622ADB"/>
    <w:rsid w:val="006A11CB"/>
    <w:rsid w:val="00711E61"/>
    <w:rsid w:val="008C689B"/>
    <w:rsid w:val="00931436"/>
    <w:rsid w:val="00966668"/>
    <w:rsid w:val="00AD1256"/>
    <w:rsid w:val="00CC0675"/>
    <w:rsid w:val="00CF5B73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571FC-EB61-46A4-844D-E5402616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uređivanje naloga</dc:creator>
  <cp:keywords/>
  <dc:description/>
  <cp:lastModifiedBy>Vladimir Sivcev</cp:lastModifiedBy>
  <cp:revision>245</cp:revision>
  <dcterms:created xsi:type="dcterms:W3CDTF">2018-03-01T16:48:00Z</dcterms:created>
  <dcterms:modified xsi:type="dcterms:W3CDTF">2018-03-07T20:04:00Z</dcterms:modified>
</cp:coreProperties>
</file>