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923675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75pt;height:146.7pt" o:ole="">
                            <v:imagedata r:id="rId11" o:title=""/>
                          </v:shape>
                          <o:OLEObject Type="Embed" ProgID="Visio.Drawing.11" ShapeID="_x0000_i1025" DrawAspect="Content" ObjectID="_1456597877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1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Default="001D4261" w:rsidP="00903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261" w:rsidRDefault="007E5594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10500" w:dyaOrig="10676">
                                <v:shape id="_x0000_i1027" type="#_x0000_t75" style="width:352.25pt;height:358.2pt" o:ole="">
                                  <v:imagedata r:id="rId13" o:title=""/>
                                </v:shape>
                                <o:OLEObject Type="Embed" ProgID="Visio.Drawing.11" ShapeID="_x0000_i1027" DrawAspect="Content" ObjectID="_1456923676" r:id="rId14"/>
                              </w:object>
                            </w:r>
                          </w:p>
                          <w:p w:rsidR="001D4261" w:rsidRDefault="001D4261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A361A1">
                              <w:fldChar w:fldCharType="begin"/>
                            </w:r>
                            <w:r w:rsidR="00A361A1">
                              <w:instrText xml:space="preserve"> SEQ Рисунок \* ARABIC </w:instrText>
                            </w:r>
                            <w:r w:rsidR="00A361A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361A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1D4261" w:rsidRDefault="007E5594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10500" w:dyaOrig="10676">
                          <v:shape id="_x0000_i1027" type="#_x0000_t75" style="width:352.25pt;height:358.2pt" o:ole="">
                            <v:imagedata r:id="rId15" o:title=""/>
                          </v:shape>
                          <o:OLEObject Type="Embed" ProgID="Visio.Drawing.11" ShapeID="_x0000_i1027" DrawAspect="Content" ObjectID="_1456853998" r:id="rId16"/>
                        </w:object>
                      </w:r>
                    </w:p>
                    <w:p w:rsidR="001D4261" w:rsidRDefault="001D4261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6498" w:rsidRDefault="00311ACD" w:rsidP="00903C5B">
      <w:r>
        <w:t>КИМ-метод предполагает реализацию данного алгоритма, при этом оговаривая принципы реализации блоков 1,2,3:</w:t>
      </w:r>
    </w:p>
    <w:p w:rsidR="00311ACD" w:rsidRDefault="00311ACD" w:rsidP="00311ACD">
      <w:pPr>
        <w:pStyle w:val="a3"/>
        <w:numPr>
          <w:ilvl w:val="0"/>
          <w:numId w:val="12"/>
        </w:numPr>
      </w:pPr>
      <w:r>
        <w:t xml:space="preserve">Формирование настроек итераций – реализуется как формирование набора частных допустимых решений. </w:t>
      </w:r>
      <w:r w:rsidR="00CF49FD">
        <w:t xml:space="preserve">Генерация </w:t>
      </w:r>
      <w:r w:rsidR="00CF49FD">
        <w:lastRenderedPageBreak/>
        <w:t>решений осуществляется</w:t>
      </w:r>
      <w:r>
        <w:t xml:space="preserve"> на основании строго описанных правил и </w:t>
      </w:r>
      <w:proofErr w:type="gramStart"/>
      <w:r>
        <w:t>актуален</w:t>
      </w:r>
      <w:proofErr w:type="gramEnd"/>
      <w:r>
        <w:t xml:space="preserve"> только на данной итерации.</w:t>
      </w:r>
    </w:p>
    <w:p w:rsidR="00EE4BD8" w:rsidRDefault="00EE4BD8" w:rsidP="00311ACD">
      <w:pPr>
        <w:pStyle w:val="a3"/>
        <w:numPr>
          <w:ilvl w:val="0"/>
          <w:numId w:val="12"/>
        </w:numPr>
      </w:pPr>
      <w:r>
        <w:t xml:space="preserve">Расчёт возможных состояний – описывается как вычисление функции оценки вида </w:t>
      </w:r>
      <w:r w:rsidRPr="0070629A">
        <w:rPr>
          <w:position w:val="-60"/>
        </w:rPr>
        <w:object w:dxaOrig="1400" w:dyaOrig="1340">
          <v:shape id="_x0000_i1025" type="#_x0000_t75" style="width:70pt;height:67pt" o:ole="">
            <v:imagedata r:id="rId17" o:title=""/>
          </v:shape>
          <o:OLEObject Type="Embed" ProgID="Equation.3" ShapeID="_x0000_i1025" DrawAspect="Content" ObjectID="_1456923674" r:id="rId18"/>
        </w:object>
      </w:r>
      <w:r>
        <w:t>, где «с» - это параметры, количественно описывающие допустимое решение, а «</w:t>
      </w:r>
      <w:r>
        <w:rPr>
          <w:lang w:val="en-US"/>
        </w:rPr>
        <w:t>g</w:t>
      </w:r>
      <w:r>
        <w:t>»</w:t>
      </w:r>
      <w:r w:rsidRPr="00EE4BD8">
        <w:t xml:space="preserve"> </w:t>
      </w:r>
      <w:r>
        <w:t>и «</w:t>
      </w:r>
      <w:r>
        <w:rPr>
          <w:lang w:val="en-US"/>
        </w:rPr>
        <w:t>q</w:t>
      </w:r>
      <w:r>
        <w:t xml:space="preserve">» – настроечные коэффициенты, необходимые для </w:t>
      </w:r>
      <w:r w:rsidR="00764C71">
        <w:t xml:space="preserve">комплексного </w:t>
      </w:r>
      <w:r w:rsidR="005E31D3">
        <w:t xml:space="preserve">оценивания </w:t>
      </w:r>
      <w:r w:rsidR="00764C71">
        <w:t>качественно различных характеристик</w:t>
      </w:r>
      <w:r w:rsidR="00764C71" w:rsidRPr="00764C71">
        <w:t>.</w:t>
      </w:r>
    </w:p>
    <w:p w:rsidR="00CF49FD" w:rsidRDefault="007E5594" w:rsidP="00311ACD">
      <w:pPr>
        <w:pStyle w:val="a3"/>
        <w:numPr>
          <w:ilvl w:val="0"/>
          <w:numId w:val="12"/>
        </w:numPr>
      </w:pPr>
      <w:r>
        <w:t>Выбора набора осуществляется методом рандомизированного розыгрыша,</w:t>
      </w:r>
      <w:r w:rsidR="00EA4740">
        <w:t xml:space="preserve"> предполагающего прямую зависимость вероятности выбора состояния от его оценки.</w:t>
      </w:r>
    </w:p>
    <w:p w:rsidR="003C0850" w:rsidRPr="001F785B" w:rsidRDefault="003C0850" w:rsidP="00311ACD">
      <w:pPr>
        <w:pStyle w:val="a3"/>
        <w:numPr>
          <w:ilvl w:val="0"/>
          <w:numId w:val="12"/>
        </w:numPr>
      </w:pPr>
      <w:r>
        <w:t>Имитационное изменение – не предполагает специфики со стороны КИМ-метода.</w:t>
      </w:r>
    </w:p>
    <w:p w:rsidR="00D61ED5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</w:t>
      </w:r>
      <w:r w:rsidR="00907833">
        <w:t>учитывается</w:t>
      </w:r>
      <w:r w:rsidR="006B4C77">
        <w:t xml:space="preserve">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907833">
        <w:t xml:space="preserve">взвешенных </w:t>
      </w:r>
      <w:r w:rsidR="002C34AA">
        <w:t>состояний.</w:t>
      </w:r>
    </w:p>
    <w:p w:rsidR="00907833" w:rsidRPr="00EF34F6" w:rsidRDefault="00907833" w:rsidP="00D61ED5">
      <w:r>
        <w:t>Благодаря механизму рандомизированного розыгрыша, КИМ-метод позволяет улучшать качество найденного решения, путём увеличения количества имитаций.</w:t>
      </w:r>
      <w:r w:rsidR="003843AD">
        <w:t xml:space="preserve"> Однако, минимальное время нахождения </w:t>
      </w:r>
      <w:r>
        <w:t xml:space="preserve"> </w:t>
      </w:r>
    </w:p>
    <w:p w:rsidR="00903C5B" w:rsidRPr="00596304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596304" w:rsidRDefault="00607509" w:rsidP="00903C5B">
      <w:r>
        <w:lastRenderedPageBreak/>
        <w:t xml:space="preserve">Функциональная схема </w:t>
      </w:r>
      <w:r w:rsidR="007856C8" w:rsidRPr="00596304">
        <w:t>К</w:t>
      </w:r>
      <w:r>
        <w:t>ИМ-</w:t>
      </w:r>
      <w:r w:rsidR="007856C8" w:rsidRPr="00596304">
        <w:t>метод</w:t>
      </w:r>
      <w:r>
        <w:t xml:space="preserve">а совпадает с функциональной схемой </w:t>
      </w:r>
      <w:r>
        <w:t>абстрактной</w:t>
      </w:r>
      <w:r>
        <w:t xml:space="preserve"> имитационной СППР (см рис. 1).</w:t>
      </w:r>
      <w:r w:rsidR="000910FE" w:rsidRPr="00596304">
        <w:t xml:space="preserve"> (</w:t>
      </w:r>
      <w:r w:rsidR="000910FE" w:rsidRPr="00607509">
        <w:rPr>
          <w:color w:val="FF0000"/>
        </w:rPr>
        <w:t>ИЗМЕНИТЬ В ВИЗИО</w:t>
      </w:r>
      <w:r w:rsidR="000910FE" w:rsidRPr="00596304">
        <w:t>)</w:t>
      </w:r>
      <w:r w:rsidR="000910FE" w:rsidRPr="00596304">
        <w:rPr>
          <w:noProof/>
          <w:lang w:eastAsia="ru-RU"/>
        </w:rPr>
        <mc:AlternateContent>
          <mc:Choice Requires="wps">
            <w:drawing>
              <wp:inline distT="0" distB="0" distL="0" distR="0" wp14:anchorId="1339B3D4" wp14:editId="27B48EB4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8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8" DrawAspect="Content" ObjectID="_1456923677" r:id="rId19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7" type="#_x0000_t75" style="width:447.75pt;height:146.7pt" o:ole="">
                            <v:imagedata r:id="rId11" o:title=""/>
                          </v:shape>
                          <o:OLEObject Type="Embed" ProgID="Visio.Drawing.11" ShapeID="_x0000_i1027" DrawAspect="Content" ObjectID="_1456597879" r:id="rId20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3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607509" w:rsidP="00903C5B">
      <w:pPr>
        <w:rPr>
          <w:color w:val="A6A6A6" w:themeColor="background1" w:themeShade="A6"/>
        </w:rPr>
      </w:pPr>
      <w:r>
        <w:t>(</w:t>
      </w:r>
      <w:r w:rsidRPr="00581D03">
        <w:rPr>
          <w:color w:val="FF0000"/>
        </w:rPr>
        <w:t xml:space="preserve">ОПИСАТЬ </w:t>
      </w:r>
      <w:proofErr w:type="gramStart"/>
      <w:r w:rsidRPr="00581D03">
        <w:rPr>
          <w:color w:val="FF0000"/>
        </w:rPr>
        <w:t>КРАТКО</w:t>
      </w:r>
      <w:proofErr w:type="gramEnd"/>
      <w:r w:rsidRPr="00581D03">
        <w:rPr>
          <w:color w:val="FF0000"/>
        </w:rPr>
        <w:t xml:space="preserve"> ПО</w:t>
      </w:r>
      <w:bookmarkStart w:id="0" w:name="_GoBack"/>
      <w:bookmarkEnd w:id="0"/>
      <w:r w:rsidRPr="00581D03">
        <w:rPr>
          <w:color w:val="FF0000"/>
        </w:rPr>
        <w:t>КАЗАТЬ КАКИЕ БЛОКИ КАК РЕАЛИЗУЮТСЯ</w:t>
      </w:r>
      <w:r>
        <w:t>)</w:t>
      </w:r>
      <w:r w:rsidR="00681304" w:rsidRPr="00596304">
        <w:t xml:space="preserve">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1A1" w:rsidRDefault="00A361A1" w:rsidP="00597FCB">
      <w:pPr>
        <w:spacing w:after="0" w:line="240" w:lineRule="auto"/>
      </w:pPr>
      <w:r>
        <w:separator/>
      </w:r>
    </w:p>
  </w:endnote>
  <w:endnote w:type="continuationSeparator" w:id="0">
    <w:p w:rsidR="00A361A1" w:rsidRDefault="00A361A1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1A1" w:rsidRDefault="00A361A1" w:rsidP="00597FCB">
      <w:pPr>
        <w:spacing w:after="0" w:line="240" w:lineRule="auto"/>
      </w:pPr>
      <w:r>
        <w:separator/>
      </w:r>
    </w:p>
  </w:footnote>
  <w:footnote w:type="continuationSeparator" w:id="0">
    <w:p w:rsidR="00A361A1" w:rsidRDefault="00A361A1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BA64F0"/>
    <w:multiLevelType w:val="hybridMultilevel"/>
    <w:tmpl w:val="1C6E0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11ACD"/>
    <w:rsid w:val="00320876"/>
    <w:rsid w:val="00331025"/>
    <w:rsid w:val="00331971"/>
    <w:rsid w:val="003346A5"/>
    <w:rsid w:val="00373A01"/>
    <w:rsid w:val="00373EC0"/>
    <w:rsid w:val="003843AD"/>
    <w:rsid w:val="0039789C"/>
    <w:rsid w:val="003B5E77"/>
    <w:rsid w:val="003C0850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3808"/>
    <w:rsid w:val="005062A0"/>
    <w:rsid w:val="00520406"/>
    <w:rsid w:val="00531BC8"/>
    <w:rsid w:val="00546F82"/>
    <w:rsid w:val="00581D03"/>
    <w:rsid w:val="00584CD4"/>
    <w:rsid w:val="00595BD3"/>
    <w:rsid w:val="00596304"/>
    <w:rsid w:val="005979D7"/>
    <w:rsid w:val="00597FCB"/>
    <w:rsid w:val="005A0C47"/>
    <w:rsid w:val="005A1978"/>
    <w:rsid w:val="005A4376"/>
    <w:rsid w:val="005B14BE"/>
    <w:rsid w:val="005B543B"/>
    <w:rsid w:val="005E1F1E"/>
    <w:rsid w:val="005E31D3"/>
    <w:rsid w:val="00607509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64C71"/>
    <w:rsid w:val="007856C8"/>
    <w:rsid w:val="0079112C"/>
    <w:rsid w:val="0079779A"/>
    <w:rsid w:val="007A5B50"/>
    <w:rsid w:val="007B119A"/>
    <w:rsid w:val="007B5BC1"/>
    <w:rsid w:val="007D38A6"/>
    <w:rsid w:val="007D5AA9"/>
    <w:rsid w:val="007E1FA2"/>
    <w:rsid w:val="007E31EB"/>
    <w:rsid w:val="007E5594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D37F3"/>
    <w:rsid w:val="008F6C97"/>
    <w:rsid w:val="009010B1"/>
    <w:rsid w:val="009020F2"/>
    <w:rsid w:val="00903C5B"/>
    <w:rsid w:val="00907833"/>
    <w:rsid w:val="00924FB7"/>
    <w:rsid w:val="009269B9"/>
    <w:rsid w:val="00945EBD"/>
    <w:rsid w:val="00957F07"/>
    <w:rsid w:val="0097322A"/>
    <w:rsid w:val="00983A49"/>
    <w:rsid w:val="009B511F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361A1"/>
    <w:rsid w:val="00A72B44"/>
    <w:rsid w:val="00A741B2"/>
    <w:rsid w:val="00A91D18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45A14"/>
    <w:rsid w:val="00C53E43"/>
    <w:rsid w:val="00C86970"/>
    <w:rsid w:val="00CA5320"/>
    <w:rsid w:val="00CB0C6C"/>
    <w:rsid w:val="00CB4378"/>
    <w:rsid w:val="00CB7964"/>
    <w:rsid w:val="00CC2B13"/>
    <w:rsid w:val="00CE485B"/>
    <w:rsid w:val="00CF49FD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740"/>
    <w:rsid w:val="00EA4B2B"/>
    <w:rsid w:val="00EC6931"/>
    <w:rsid w:val="00EE4BD8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B154F"/>
    <w:rsid w:val="00FC3B57"/>
    <w:rsid w:val="00FC6595"/>
    <w:rsid w:val="00FC7A04"/>
    <w:rsid w:val="00FD305F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20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B12CDA9-1591-462E-9B34-6C1021FA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12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186</cp:revision>
  <dcterms:created xsi:type="dcterms:W3CDTF">2014-01-26T09:02:00Z</dcterms:created>
  <dcterms:modified xsi:type="dcterms:W3CDTF">2014-03-21T12:15:00Z</dcterms:modified>
</cp:coreProperties>
</file>