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внешней обработки «Состояние документов», позволяющей пользователю задавать условия отбора для формирования соответствующего отчета. Инструкция включает в себя визуальные подсказки, упрощая процесс настройки и получения необходимой информации.&gt;</w:t>
        <w:br/>
        <w:br/>
        <w:t>Запускаем внешнюю обработку «Состояние документов»</w:t>
        <w:br/>
        <w:br/>
        <w:t>![Инструкция_по_формированию_отчета_Состояние_документов](https://gendalfai.storage.yandexcloud.net/Инструкция_по_формированию_отчета_Состояние_документов/img_2.png)</w:t>
        <w:br/>
        <w:br/>
        <w:t xml:space="preserve">Заполняете необходимые условия отбора для формирования отчета. </w:t>
        <w:br/>
        <w:br/>
        <w:br/>
        <w:t>![Инструкция_по_формированию_отчета_Состояние_документов](https://gendalfai.storage.yandexcloud.net/Инструкция_по_формированию_отчета_Состояние_документов/img_1.png)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