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CBA24" w14:textId="77777777" w:rsidR="009B0BE2" w:rsidRPr="001E4FA2" w:rsidRDefault="002403F7">
      <w:pPr>
        <w:pStyle w:val="Ttulo"/>
        <w:spacing w:before="400" w:after="100"/>
        <w:jc w:val="center"/>
        <w:rPr>
          <w:rFonts w:ascii="Arial Black" w:hAnsi="Arial Black"/>
          <w:lang w:val="es-ES"/>
        </w:rPr>
      </w:pPr>
      <w:r w:rsidRPr="001E4FA2">
        <w:rPr>
          <w:rFonts w:ascii="Arial Black" w:hAnsi="Arial Black"/>
          <w:b/>
          <w:bCs/>
          <w:lang w:val="es-ES"/>
        </w:rPr>
        <w:t>Boceto del Dashboard RetailPro</w:t>
      </w:r>
    </w:p>
    <w:p w14:paraId="1B8DDBDC" w14:textId="77777777" w:rsidR="009B0BE2" w:rsidRPr="001E4FA2" w:rsidRDefault="002403F7">
      <w:pPr>
        <w:pStyle w:val="Ttulo2"/>
        <w:spacing w:after="400"/>
        <w:jc w:val="center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color w:val="2E5395"/>
          <w:sz w:val="32"/>
          <w:szCs w:val="32"/>
          <w:lang w:val="es-ES"/>
        </w:rPr>
        <w:t>Pre-entrega ajustada — Módulo 7</w:t>
      </w:r>
    </w:p>
    <w:p w14:paraId="2C38463D" w14:textId="77777777" w:rsidR="009B0BE2" w:rsidRPr="001E4FA2" w:rsidRDefault="002403F7" w:rsidP="001E4FA2">
      <w:pPr>
        <w:spacing w:after="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>Autor: Vladimir Nicolas Huanca Grimaldes (D.A.)</w:t>
      </w:r>
    </w:p>
    <w:p w14:paraId="05EB584C" w14:textId="77777777" w:rsidR="009B0BE2" w:rsidRPr="001E4FA2" w:rsidRDefault="002403F7" w:rsidP="001E4FA2">
      <w:pPr>
        <w:spacing w:after="40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>Proyecto: Sistema Analítico Integral RetailPro</w:t>
      </w:r>
    </w:p>
    <w:p w14:paraId="30A70FB0" w14:textId="77777777" w:rsidR="009B0BE2" w:rsidRPr="001E4FA2" w:rsidRDefault="002403F7">
      <w:pPr>
        <w:pStyle w:val="Ttulo1"/>
        <w:spacing w:before="350" w:after="180"/>
        <w:rPr>
          <w:rFonts w:asciiTheme="minorHAnsi" w:hAnsiTheme="minorHAnsi" w:cstheme="minorHAnsi"/>
          <w:lang w:val="es-ES"/>
        </w:rPr>
      </w:pPr>
      <w:r w:rsidRPr="001E4FA2">
        <w:rPr>
          <w:rFonts w:asciiTheme="minorHAnsi" w:hAnsiTheme="minorHAnsi" w:cstheme="minorHAnsi"/>
          <w:color w:val="2E5395"/>
          <w:lang w:val="es-ES"/>
        </w:rPr>
        <w:t>1. Propósito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B0BE2" w:rsidRPr="001E4FA2" w14:paraId="00BFF2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6B4F"/>
              <w:left w:val="single" w:sz="8" w:space="0" w:color="1A6B4F"/>
              <w:bottom w:val="single" w:sz="8" w:space="0" w:color="1A6B4F"/>
              <w:right w:val="single" w:sz="8" w:space="0" w:color="1A6B4F"/>
            </w:tcBorders>
            <w:shd w:val="clear" w:color="auto" w:fill="EEF7F2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4118FA2" w14:textId="77777777" w:rsidR="009B0BE2" w:rsidRPr="001E4FA2" w:rsidRDefault="002403F7">
            <w:pPr>
              <w:rPr>
                <w:rFonts w:ascii="Arial Black" w:hAnsi="Arial Black" w:cstheme="minorHAnsi"/>
                <w:sz w:val="32"/>
                <w:szCs w:val="32"/>
                <w:lang w:val="es-ES"/>
              </w:rPr>
            </w:pPr>
            <w:r w:rsidRPr="001E4FA2">
              <w:rPr>
                <w:rFonts w:ascii="Arial Black" w:hAnsi="Arial Black" w:cstheme="minorHAnsi"/>
                <w:b/>
                <w:bCs/>
                <w:i/>
                <w:iCs/>
                <w:color w:val="1A6B4F"/>
                <w:sz w:val="32"/>
                <w:szCs w:val="32"/>
                <w:lang w:val="es-ES"/>
              </w:rPr>
              <w:t>Este dashboard le permite al gerente de RetailPro identificar en segundos en qué regiones, categorías y clientes se concentra la caída del margen de ganancia, para poder actuar sobre la causa antes de que siga erosionando la rentabilidad.</w:t>
            </w:r>
          </w:p>
        </w:tc>
      </w:tr>
    </w:tbl>
    <w:p w14:paraId="5EBE38A7" w14:textId="77777777" w:rsidR="009B0BE2" w:rsidRPr="001E4FA2" w:rsidRDefault="009B0BE2">
      <w:pPr>
        <w:spacing w:after="100"/>
        <w:rPr>
          <w:rFonts w:asciiTheme="minorHAnsi" w:hAnsiTheme="minorHAnsi" w:cstheme="minorHAnsi"/>
          <w:sz w:val="32"/>
          <w:szCs w:val="32"/>
          <w:lang w:val="es-ES"/>
        </w:rPr>
      </w:pPr>
    </w:p>
    <w:p w14:paraId="4290349D" w14:textId="77777777" w:rsidR="009B0BE2" w:rsidRPr="001E4FA2" w:rsidRDefault="002403F7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>Esta frase reto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ma directamente la pregunta diagnóstica del </w:t>
      </w:r>
      <w:proofErr w:type="spellStart"/>
      <w:r w:rsidRPr="001E4FA2">
        <w:rPr>
          <w:rFonts w:asciiTheme="minorHAnsi" w:hAnsiTheme="minorHAnsi" w:cstheme="minorHAnsi"/>
          <w:sz w:val="32"/>
          <w:szCs w:val="32"/>
          <w:lang w:val="es-ES"/>
        </w:rPr>
        <w:t>brief</w:t>
      </w:r>
      <w:proofErr w:type="spellEnd"/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de M1: "¿Cuáles son los factores comerciales, territoriales y de mix de producto que explican la desaceleración del margen de ganancia... y en qué clientes/categorías clave se concentra el mayor riesgo de p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>érdida de facturación?". El dashboard no es un reporte descriptivo: está orientado a que el gerente tome una acción concreta (dónde intervenir primero).</w:t>
      </w:r>
    </w:p>
    <w:p w14:paraId="313F3717" w14:textId="77777777" w:rsidR="009B0BE2" w:rsidRPr="001E4FA2" w:rsidRDefault="002403F7">
      <w:pPr>
        <w:pStyle w:val="Ttulo1"/>
        <w:spacing w:before="350" w:after="180"/>
        <w:rPr>
          <w:rFonts w:asciiTheme="minorHAnsi" w:hAnsiTheme="minorHAnsi" w:cstheme="minorHAnsi"/>
          <w:lang w:val="es-ES"/>
        </w:rPr>
      </w:pPr>
      <w:r w:rsidRPr="001E4FA2">
        <w:rPr>
          <w:rFonts w:asciiTheme="minorHAnsi" w:hAnsiTheme="minorHAnsi" w:cstheme="minorHAnsi"/>
          <w:color w:val="2E5395"/>
          <w:lang w:val="es-ES"/>
        </w:rPr>
        <w:t>2. Boceto</w:t>
      </w:r>
    </w:p>
    <w:p w14:paraId="61312ED7" w14:textId="77777777" w:rsidR="009B0BE2" w:rsidRPr="001E4FA2" w:rsidRDefault="002403F7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El siguiente </w:t>
      </w:r>
      <w:proofErr w:type="spellStart"/>
      <w:r w:rsidRPr="001E4FA2">
        <w:rPr>
          <w:rFonts w:asciiTheme="minorHAnsi" w:hAnsiTheme="minorHAnsi" w:cstheme="minorHAnsi"/>
          <w:sz w:val="32"/>
          <w:szCs w:val="32"/>
          <w:lang w:val="es-ES"/>
        </w:rPr>
        <w:t>wireframe</w:t>
      </w:r>
      <w:proofErr w:type="spellEnd"/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de baja fidelidad sigue el patrón de lectura en Z y respeta las 4 zona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>s pedidas: KPIs arriba, tendencia a la izquierda, comparación a la derecha, y detalle abajo.</w:t>
      </w:r>
    </w:p>
    <w:p w14:paraId="36DEE4DE" w14:textId="77777777" w:rsidR="009B0BE2" w:rsidRPr="001E4FA2" w:rsidRDefault="002403F7">
      <w:pPr>
        <w:spacing w:before="150" w:after="150"/>
        <w:jc w:val="center"/>
        <w:rPr>
          <w:rFonts w:asciiTheme="minorHAnsi" w:hAnsiTheme="minorHAnsi" w:cstheme="minorHAnsi"/>
          <w:sz w:val="32"/>
          <w:szCs w:val="32"/>
        </w:rPr>
      </w:pPr>
      <w:r w:rsidRPr="001E4FA2"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32658D6E" wp14:editId="7CEF8881">
            <wp:extent cx="5524500" cy="3543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EEAB" w14:textId="77777777" w:rsidR="009B0BE2" w:rsidRPr="001E4FA2" w:rsidRDefault="002403F7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i/>
          <w:iCs/>
          <w:color w:val="666666"/>
          <w:sz w:val="32"/>
          <w:szCs w:val="32"/>
          <w:lang w:val="es-ES"/>
        </w:rPr>
        <w:t>El dashboard tiene 4 elementos visuales principales — la fila de KPIs, el gráfico de tendencia, el gráfico de comparación y la tabla de detalle — por debajo del límite de 6 que pide la consigna.</w:t>
      </w:r>
    </w:p>
    <w:p w14:paraId="1216DDAE" w14:textId="77777777" w:rsidR="009B0BE2" w:rsidRPr="001E4FA2" w:rsidRDefault="002403F7">
      <w:pPr>
        <w:pStyle w:val="Ttulo1"/>
        <w:spacing w:before="350" w:after="180"/>
        <w:rPr>
          <w:rFonts w:asciiTheme="minorHAnsi" w:hAnsiTheme="minorHAnsi" w:cstheme="minorHAnsi"/>
          <w:lang w:val="es-ES"/>
        </w:rPr>
      </w:pPr>
      <w:r w:rsidRPr="001E4FA2">
        <w:rPr>
          <w:rFonts w:asciiTheme="minorHAnsi" w:hAnsiTheme="minorHAnsi" w:cstheme="minorHAnsi"/>
          <w:color w:val="2E5395"/>
          <w:lang w:val="es-ES"/>
        </w:rPr>
        <w:t>3. Justificación de las decisiones</w:t>
      </w:r>
    </w:p>
    <w:p w14:paraId="12432199" w14:textId="77777777" w:rsidR="009B0BE2" w:rsidRPr="001E4FA2" w:rsidRDefault="002403F7">
      <w:pPr>
        <w:pStyle w:val="Ttulo2"/>
        <w:spacing w:before="25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color w:val="2E5395"/>
          <w:sz w:val="32"/>
          <w:szCs w:val="32"/>
          <w:lang w:val="es-ES"/>
        </w:rPr>
        <w:t>3.1 Por qué estos 4 KPIs e</w:t>
      </w:r>
      <w:r w:rsidRPr="001E4FA2">
        <w:rPr>
          <w:rFonts w:asciiTheme="minorHAnsi" w:hAnsiTheme="minorHAnsi" w:cstheme="minorHAnsi"/>
          <w:color w:val="2E5395"/>
          <w:sz w:val="32"/>
          <w:szCs w:val="32"/>
          <w:lang w:val="es-ES"/>
        </w:rPr>
        <w:t>n la Zona de Oro</w:t>
      </w:r>
    </w:p>
    <w:p w14:paraId="346CA5B4" w14:textId="77777777" w:rsidR="009B0BE2" w:rsidRPr="001E4FA2" w:rsidRDefault="002403F7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Los cuatro son exactamente los KPIs definidos en la Sección 4 del </w:t>
      </w:r>
      <w:proofErr w:type="spellStart"/>
      <w:r w:rsidRPr="001E4FA2">
        <w:rPr>
          <w:rFonts w:asciiTheme="minorHAnsi" w:hAnsiTheme="minorHAnsi" w:cstheme="minorHAnsi"/>
          <w:sz w:val="32"/>
          <w:szCs w:val="32"/>
          <w:lang w:val="es-ES"/>
        </w:rPr>
        <w:t>brief</w:t>
      </w:r>
      <w:proofErr w:type="spellEnd"/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de M1, elegidos ahí porque cada uno responde a una arista distinta de la pregunta diagnóstica: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2137"/>
        <w:gridCol w:w="5460"/>
      </w:tblGrid>
      <w:tr w:rsidR="009B0BE2" w:rsidRPr="001E4FA2" w14:paraId="760F3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DA9EE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E4FA2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KPI</w:t>
            </w:r>
          </w:p>
        </w:tc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CEA7F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1E4FA2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Qué</w:t>
            </w:r>
            <w:proofErr w:type="spellEnd"/>
            <w:r w:rsidRPr="001E4FA2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 w:rsidRPr="001E4FA2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</w:rPr>
              <w:t>mide</w:t>
            </w:r>
            <w:proofErr w:type="spellEnd"/>
          </w:p>
        </w:tc>
        <w:tc>
          <w:tcPr>
            <w:tcW w:w="0" w:type="auto"/>
            <w:shd w:val="clear" w:color="auto" w:fill="2E539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CFE94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1E4FA2">
              <w:rPr>
                <w:rFonts w:asciiTheme="minorHAnsi" w:hAnsiTheme="minorHAnsi" w:cstheme="minorHAnsi"/>
                <w:b/>
                <w:bCs/>
                <w:color w:val="FFFFFF"/>
                <w:sz w:val="32"/>
                <w:szCs w:val="32"/>
                <w:lang w:val="es-ES"/>
              </w:rPr>
              <w:t>Por qué está en la Zona de Oro</w:t>
            </w:r>
          </w:p>
        </w:tc>
      </w:tr>
      <w:tr w:rsidR="009B0BE2" w:rsidRPr="001E4FA2" w14:paraId="31A8C9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DF55A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Total Ventas ($)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A4E8B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Monto tota</w:t>
            </w:r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l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facturado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403F7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Mide el tamaño del negocio; es la referencia obligada de cualquier reporte ejecutivo y responde directo a la pregunta diagnóstica sobre dónde se concentra la facturación.</w:t>
            </w:r>
          </w:p>
        </w:tc>
      </w:tr>
      <w:tr w:rsidR="009B0BE2" w:rsidRPr="001E4FA2" w14:paraId="5447D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960F2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lastRenderedPageBreak/>
              <w:t>Margen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de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Ganancia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(%)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8F045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Rentabilidad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neta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tras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costo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63E10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 xml:space="preserve">Es el KPI central del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brief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: la pregunta diagnóstica de M1 habla explícitamente de la "desaceleración del margen de ganancia" — sin este KPI el dashboard no respondería la pregunta que lo originó.</w:t>
            </w:r>
          </w:p>
        </w:tc>
      </w:tr>
      <w:tr w:rsidR="009B0BE2" w:rsidRPr="001E4FA2" w14:paraId="4C1E8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393DF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Ticket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Promedio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($)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CB1D8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Valor med</w:t>
            </w:r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io por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transacción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F9185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 xml:space="preserve">Conecta con la Sección 3.D del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brief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 xml:space="preserve"> (impacto de descuentos en la rentabilidad): una caída en el ticket promedio es una señal temprana de descuentos agresivos.</w:t>
            </w:r>
          </w:p>
        </w:tc>
      </w:tr>
      <w:tr w:rsidR="009B0BE2" w:rsidRPr="001E4FA2" w14:paraId="3D8B4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5F727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Volumen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de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Unidades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77F10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Unidades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físicas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</w:rPr>
              <w:t>vendidas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2783C" w14:textId="77777777" w:rsidR="009B0BE2" w:rsidRPr="001E4FA2" w:rsidRDefault="002403F7">
            <w:pPr>
              <w:rPr>
                <w:rFonts w:asciiTheme="minorHAnsi" w:hAnsiTheme="minorHAnsi" w:cstheme="minorHAnsi"/>
                <w:sz w:val="32"/>
                <w:szCs w:val="32"/>
                <w:lang w:val="es-ES"/>
              </w:rPr>
            </w:pPr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Permite distinguir si una caíd</w:t>
            </w:r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 xml:space="preserve">a de ventas es por menor demanda (unidades) o por precio/descuento — clave para diagnosticar la causa raíz que pide el </w:t>
            </w:r>
            <w:proofErr w:type="spellStart"/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brief</w:t>
            </w:r>
            <w:proofErr w:type="spellEnd"/>
            <w:r w:rsidRPr="001E4FA2">
              <w:rPr>
                <w:rFonts w:asciiTheme="minorHAnsi" w:hAnsiTheme="minorHAnsi" w:cstheme="minorHAnsi"/>
                <w:sz w:val="32"/>
                <w:szCs w:val="32"/>
                <w:lang w:val="es-ES"/>
              </w:rPr>
              <w:t>.</w:t>
            </w:r>
          </w:p>
        </w:tc>
      </w:tr>
    </w:tbl>
    <w:p w14:paraId="24196D82" w14:textId="77777777" w:rsidR="009B0BE2" w:rsidRPr="001E4FA2" w:rsidRDefault="002403F7">
      <w:pPr>
        <w:pStyle w:val="Ttulo2"/>
        <w:spacing w:before="25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color w:val="2E5395"/>
          <w:sz w:val="32"/>
          <w:szCs w:val="32"/>
          <w:lang w:val="es-ES"/>
        </w:rPr>
        <w:t>3.2 Por qué línea para tendencia y barras para comparación</w:t>
      </w:r>
    </w:p>
    <w:p w14:paraId="7E8ADB41" w14:textId="77777777" w:rsidR="009B0BE2" w:rsidRPr="001E4FA2" w:rsidRDefault="002403F7">
      <w:pPr>
        <w:pStyle w:val="Prrafodelista"/>
        <w:numPr>
          <w:ilvl w:val="0"/>
          <w:numId w:val="1"/>
        </w:numPr>
        <w:spacing w:after="10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Gráfico de líneas (zona media izquierda): la Sección 3.E del </w:t>
      </w:r>
      <w:proofErr w:type="spellStart"/>
      <w:r w:rsidRPr="001E4FA2">
        <w:rPr>
          <w:rFonts w:asciiTheme="minorHAnsi" w:hAnsiTheme="minorHAnsi" w:cstheme="minorHAnsi"/>
          <w:sz w:val="32"/>
          <w:szCs w:val="32"/>
          <w:lang w:val="es-ES"/>
        </w:rPr>
        <w:t>brief</w:t>
      </w:r>
      <w:proofErr w:type="spellEnd"/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pre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>gunta por la estacionalidad ("picos y valles de estacionalidad en la demanda") y la Sección 3.A pide ver "cómo ha evolucionado la tendencia mes a mes". Una línea es el único tipo de gráfico que muestra dirección y continuidad en el tiempo de forma inmediat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>a — una serie de barras mensuales obligaría al gerente a comparar 12 alturas en vez de leer una sola trayectoria.</w:t>
      </w:r>
    </w:p>
    <w:p w14:paraId="300A544F" w14:textId="77777777" w:rsidR="009B0BE2" w:rsidRPr="001E4FA2" w:rsidRDefault="002403F7">
      <w:pPr>
        <w:pStyle w:val="Prrafodelista"/>
        <w:numPr>
          <w:ilvl w:val="0"/>
          <w:numId w:val="1"/>
        </w:numPr>
        <w:spacing w:after="10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>Gráfico de barras (zona media derecha): la Sección 3.B pregunta qué categorías generan más volumen frente a más margen, y la Sección 3.C pregu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>nta por concentración de clientes (Pareto). Comparar magnitudes discretas entre categorías o regiones es exactamente para lo que sirven las barras: permiten un ranking visual inmediato, cosa que una línea no comunica bien cuando el eje X no es tiempo.</w:t>
      </w:r>
    </w:p>
    <w:p w14:paraId="175132BE" w14:textId="77777777" w:rsidR="009B0BE2" w:rsidRPr="001E4FA2" w:rsidRDefault="002403F7">
      <w:pPr>
        <w:pStyle w:val="Ttulo2"/>
        <w:spacing w:before="250" w:after="12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color w:val="2E5395"/>
          <w:sz w:val="32"/>
          <w:szCs w:val="32"/>
          <w:lang w:val="es-ES"/>
        </w:rPr>
        <w:t>3.3 Cómo se diferencia resumen de detalle</w:t>
      </w:r>
    </w:p>
    <w:p w14:paraId="211466E9" w14:textId="77777777" w:rsidR="009B0BE2" w:rsidRPr="001E4FA2" w:rsidRDefault="002403F7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lastRenderedPageBreak/>
        <w:t>El diseño usa tamaño y posición para marcar la jerarquía: las tarjetas KPI (zona de oro) son grandes, numéricas y sin filas — se leen en menos de 3 segundos y no requieren interpretación. Los dos gráficos centrales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ya exigen una lectura activa (comparar, encontrar tendencias), por eso están en la franja media, después de los KPIs. La tabla de transacciones individuales va al final, en la zona inferior: es información de detalle que el gerente solo va a abrir si algo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en los KPIs o los gráficos le llamó la atención — no compite por atención con el resumen ejecutivo de arriba.</w:t>
      </w:r>
    </w:p>
    <w:p w14:paraId="26BCC1DA" w14:textId="4CA62CFA" w:rsidR="009B0BE2" w:rsidRDefault="002403F7">
      <w:pPr>
        <w:spacing w:after="160"/>
        <w:rPr>
          <w:rFonts w:asciiTheme="minorHAnsi" w:hAnsiTheme="minorHAnsi" w:cstheme="minorHAnsi"/>
          <w:sz w:val="32"/>
          <w:szCs w:val="32"/>
          <w:lang w:val="es-ES"/>
        </w:rPr>
      </w:pPr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Esto respeta además la Sección 2 del </w:t>
      </w:r>
      <w:proofErr w:type="spellStart"/>
      <w:r w:rsidRPr="001E4FA2">
        <w:rPr>
          <w:rFonts w:asciiTheme="minorHAnsi" w:hAnsiTheme="minorHAnsi" w:cstheme="minorHAnsi"/>
          <w:sz w:val="32"/>
          <w:szCs w:val="32"/>
          <w:lang w:val="es-ES"/>
        </w:rPr>
        <w:t>brief</w:t>
      </w:r>
      <w:proofErr w:type="spellEnd"/>
      <w:r w:rsidRPr="001E4FA2">
        <w:rPr>
          <w:rFonts w:asciiTheme="minorHAnsi" w:hAnsiTheme="minorHAnsi" w:cstheme="minorHAnsi"/>
          <w:sz w:val="32"/>
          <w:szCs w:val="32"/>
          <w:lang w:val="es-ES"/>
        </w:rPr>
        <w:t xml:space="preserve"> (clientes, productos, territorios, ventas): los filtros superiores (Año, Región, Categoría) permiten c</w:t>
      </w:r>
      <w:r w:rsidRPr="001E4FA2">
        <w:rPr>
          <w:rFonts w:asciiTheme="minorHAnsi" w:hAnsiTheme="minorHAnsi" w:cstheme="minorHAnsi"/>
          <w:sz w:val="32"/>
          <w:szCs w:val="32"/>
          <w:lang w:val="es-ES"/>
        </w:rPr>
        <w:t>ruzar esas dimensiones sin necesidad de agregar más gráficos a la pantalla principal, manteniendo el total de elementos visuales dentro del límite de 6.</w:t>
      </w:r>
    </w:p>
    <w:p w14:paraId="33D2D713" w14:textId="793CFF02" w:rsidR="002403F7" w:rsidRPr="002403F7" w:rsidRDefault="002403F7">
      <w:pPr>
        <w:spacing w:after="160"/>
        <w:rPr>
          <w:rFonts w:asciiTheme="minorHAnsi" w:hAnsiTheme="minorHAnsi" w:cstheme="minorHAnsi"/>
          <w:sz w:val="32"/>
          <w:szCs w:val="32"/>
        </w:rPr>
      </w:pPr>
      <w:r w:rsidRPr="002403F7">
        <w:rPr>
          <w:rFonts w:asciiTheme="minorHAnsi" w:hAnsiTheme="minorHAnsi" w:cstheme="minorHAnsi"/>
          <w:sz w:val="32"/>
          <w:szCs w:val="32"/>
          <w:u w:val="single"/>
        </w:rPr>
        <w:t>Link Drive Url</w:t>
      </w:r>
      <w:r w:rsidRPr="002403F7">
        <w:rPr>
          <w:rFonts w:asciiTheme="minorHAnsi" w:hAnsiTheme="minorHAnsi" w:cstheme="minorHAnsi"/>
          <w:sz w:val="32"/>
          <w:szCs w:val="32"/>
        </w:rPr>
        <w:t>:</w:t>
      </w:r>
    </w:p>
    <w:p w14:paraId="013BB751" w14:textId="65DB2101" w:rsidR="002403F7" w:rsidRPr="002403F7" w:rsidRDefault="002403F7">
      <w:pPr>
        <w:spacing w:after="160"/>
        <w:rPr>
          <w:rFonts w:asciiTheme="minorHAnsi" w:hAnsiTheme="minorHAnsi" w:cstheme="minorHAnsi"/>
          <w:sz w:val="32"/>
          <w:szCs w:val="32"/>
        </w:rPr>
      </w:pPr>
      <w:hyperlink r:id="rId6" w:history="1">
        <w:r w:rsidRPr="002403F7">
          <w:rPr>
            <w:rStyle w:val="Hipervnculo"/>
            <w:rFonts w:asciiTheme="minorHAnsi" w:hAnsiTheme="minorHAnsi" w:cstheme="minorHAnsi"/>
            <w:sz w:val="32"/>
            <w:szCs w:val="32"/>
          </w:rPr>
          <w:t>https://drive.google.com/drive/folders/1Nt8qd4UT7YWH5G54oeud8Qa2gVViUTy0?usp=sharing</w:t>
        </w:r>
      </w:hyperlink>
    </w:p>
    <w:p w14:paraId="61719AD8" w14:textId="5DB8CA80" w:rsidR="002403F7" w:rsidRDefault="002403F7">
      <w:pPr>
        <w:spacing w:after="160"/>
        <w:rPr>
          <w:rFonts w:asciiTheme="minorHAnsi" w:hAnsiTheme="minorHAnsi" w:cstheme="minorHAnsi"/>
          <w:sz w:val="32"/>
          <w:szCs w:val="32"/>
        </w:rPr>
      </w:pPr>
      <w:r w:rsidRPr="002403F7">
        <w:rPr>
          <w:rFonts w:asciiTheme="minorHAnsi" w:hAnsiTheme="minorHAnsi" w:cstheme="minorHAnsi"/>
          <w:sz w:val="32"/>
          <w:szCs w:val="32"/>
          <w:u w:val="single"/>
        </w:rPr>
        <w:t>Link GitHub Url</w:t>
      </w:r>
      <w:r>
        <w:rPr>
          <w:rFonts w:asciiTheme="minorHAnsi" w:hAnsiTheme="minorHAnsi" w:cstheme="minorHAnsi"/>
          <w:sz w:val="32"/>
          <w:szCs w:val="32"/>
        </w:rPr>
        <w:t>:</w:t>
      </w:r>
    </w:p>
    <w:p w14:paraId="153D7F06" w14:textId="4BA2E700" w:rsidR="002403F7" w:rsidRDefault="002403F7">
      <w:pPr>
        <w:spacing w:after="160"/>
        <w:rPr>
          <w:rFonts w:asciiTheme="minorHAnsi" w:hAnsiTheme="minorHAnsi" w:cstheme="minorHAnsi"/>
          <w:sz w:val="32"/>
          <w:szCs w:val="32"/>
        </w:rPr>
      </w:pPr>
      <w:hyperlink r:id="rId7" w:history="1">
        <w:r w:rsidRPr="004D7C8A">
          <w:rPr>
            <w:rStyle w:val="Hipervnculo"/>
            <w:rFonts w:asciiTheme="minorHAnsi" w:hAnsiTheme="minorHAnsi" w:cstheme="minorHAnsi"/>
            <w:sz w:val="32"/>
            <w:szCs w:val="32"/>
          </w:rPr>
          <w:t>https://github.com/vladimirHuanca/Proyectos-Coder-House-Vladimir-Huanca</w:t>
        </w:r>
      </w:hyperlink>
    </w:p>
    <w:p w14:paraId="4234089F" w14:textId="77777777" w:rsidR="002403F7" w:rsidRPr="002403F7" w:rsidRDefault="002403F7">
      <w:pPr>
        <w:spacing w:after="160"/>
        <w:rPr>
          <w:rFonts w:asciiTheme="minorHAnsi" w:hAnsiTheme="minorHAnsi" w:cstheme="minorHAnsi"/>
          <w:sz w:val="32"/>
          <w:szCs w:val="32"/>
        </w:rPr>
      </w:pPr>
    </w:p>
    <w:sectPr w:rsidR="002403F7" w:rsidRPr="002403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3489C"/>
    <w:multiLevelType w:val="hybridMultilevel"/>
    <w:tmpl w:val="B0CAE762"/>
    <w:lvl w:ilvl="0" w:tplc="30F8E456">
      <w:start w:val="1"/>
      <w:numFmt w:val="bullet"/>
      <w:lvlText w:val="●"/>
      <w:lvlJc w:val="left"/>
      <w:pPr>
        <w:ind w:left="720" w:hanging="360"/>
      </w:pPr>
    </w:lvl>
    <w:lvl w:ilvl="1" w:tplc="35E60AA4">
      <w:start w:val="1"/>
      <w:numFmt w:val="bullet"/>
      <w:lvlText w:val="○"/>
      <w:lvlJc w:val="left"/>
      <w:pPr>
        <w:ind w:left="1440" w:hanging="360"/>
      </w:pPr>
    </w:lvl>
    <w:lvl w:ilvl="2" w:tplc="81F4F7DC">
      <w:start w:val="1"/>
      <w:numFmt w:val="bullet"/>
      <w:lvlText w:val="■"/>
      <w:lvlJc w:val="left"/>
      <w:pPr>
        <w:ind w:left="2160" w:hanging="360"/>
      </w:pPr>
    </w:lvl>
    <w:lvl w:ilvl="3" w:tplc="3844D4F2">
      <w:start w:val="1"/>
      <w:numFmt w:val="bullet"/>
      <w:lvlText w:val="●"/>
      <w:lvlJc w:val="left"/>
      <w:pPr>
        <w:ind w:left="2880" w:hanging="360"/>
      </w:pPr>
    </w:lvl>
    <w:lvl w:ilvl="4" w:tplc="DB8C0F98">
      <w:start w:val="1"/>
      <w:numFmt w:val="bullet"/>
      <w:lvlText w:val="○"/>
      <w:lvlJc w:val="left"/>
      <w:pPr>
        <w:ind w:left="3600" w:hanging="360"/>
      </w:pPr>
    </w:lvl>
    <w:lvl w:ilvl="5" w:tplc="B0089AF4">
      <w:start w:val="1"/>
      <w:numFmt w:val="bullet"/>
      <w:lvlText w:val="■"/>
      <w:lvlJc w:val="left"/>
      <w:pPr>
        <w:ind w:left="4320" w:hanging="360"/>
      </w:pPr>
    </w:lvl>
    <w:lvl w:ilvl="6" w:tplc="FCD2C6C4">
      <w:start w:val="1"/>
      <w:numFmt w:val="bullet"/>
      <w:lvlText w:val="●"/>
      <w:lvlJc w:val="left"/>
      <w:pPr>
        <w:ind w:left="5040" w:hanging="360"/>
      </w:pPr>
    </w:lvl>
    <w:lvl w:ilvl="7" w:tplc="DA20AE94">
      <w:start w:val="1"/>
      <w:numFmt w:val="bullet"/>
      <w:lvlText w:val="●"/>
      <w:lvlJc w:val="left"/>
      <w:pPr>
        <w:ind w:left="5760" w:hanging="360"/>
      </w:pPr>
    </w:lvl>
    <w:lvl w:ilvl="8" w:tplc="02745A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BE2"/>
    <w:rsid w:val="001E4FA2"/>
    <w:rsid w:val="002403F7"/>
    <w:rsid w:val="009B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1462B"/>
  <w15:docId w15:val="{5C59719E-C905-4709-9096-3FB4A2A8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40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ladimirHuanca/Proyectos-Coder-House-Vladimir-Huan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Nt8qd4UT7YWH5G54oeud8Qa2gVViUTy0?usp=shar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vladimir huanca</cp:lastModifiedBy>
  <cp:revision>3</cp:revision>
  <dcterms:created xsi:type="dcterms:W3CDTF">2026-10-06T20:07:00Z</dcterms:created>
  <dcterms:modified xsi:type="dcterms:W3CDTF">2026-10-06T22:45:00Z</dcterms:modified>
</cp:coreProperties>
</file>