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4057"/>
          <w:sz w:val="44"/>
          <w:szCs w:val="44"/>
        </w:rPr>
        <w:t xml:space="preserve">Metodologia de Uso de IA em Projetos de Desenvolvimento</w:t>
      </w:r>
    </w:p>
    <w:p>
      <w:pPr>
        <w:spacing w:after="400"/>
      </w:pPr>
      <w:r>
        <w:rPr>
          <w:i/>
          <w:iCs/>
          <w:color w:val="555555"/>
          <w:sz w:val="24"/>
          <w:szCs w:val="24"/>
        </w:rPr>
        <w:t xml:space="preserve">Como registrar contexto, evitar degradação por janela de contexto e decidir quando abrir uma nova sessão</w:t>
      </w:r>
    </w:p>
    <w:p>
      <w:pPr>
        <w:pStyle w:val="Heading1"/>
        <w:spacing w:after="200" w:before="400"/>
      </w:pPr>
      <w:r>
        <w:t xml:space="preserve">1. Por que essa metodologia existe</w:t>
      </w:r>
    </w:p>
    <w:p>
      <w:pPr>
        <w:spacing w:after="160"/>
      </w:pPr>
      <w:r>
        <w:t xml:space="preserve">Projetos de desenvolvimento assistido por IA que evoluem ao longo de várias sessões enfrentam um risco pouco discutido: à medida que o histórico de conversa cresce, o modelo pode perder acesso a decisões e detalhes definidos anteriormente — seja por truncamento da janela de contexto, seja por degradação gradual de precisão em contextos longos (efeito conhecido como “lost in the middle”, Liu et al., 2023).</w:t>
      </w:r>
    </w:p>
    <w:p>
      <w:pPr>
        <w:pBdr>
          <w:left w:val="single" w:color="E6A23C" w:sz="24"/>
        </w:pBdr>
        <w:shd w:fill="FFF4E5" w:val="clear"/>
        <w:spacing w:after="200" w:before="120"/>
        <w:ind w:left="100"/>
      </w:pPr>
      <w:r>
        <w:rPr>
          <w:b/>
          <w:bCs/>
        </w:rPr>
        <w:t xml:space="preserve">Importante: </w:t>
      </w:r>
      <w:r>
        <w:t xml:space="preserve">O modelo não avisa quando isso está acontecendo. Não há um indicador confiável de “você está perto do limite” — a resposta continua sendo dada com aparente confiança, mesmo quando parte do contexto original já não está mais disponível. Por isso, a responsabilidade de gerenciar o contexto é sempre de quem conduz o projeto, não da ferramenta.</w:t>
      </w:r>
    </w:p>
    <w:p>
      <w:pPr>
        <w:spacing w:after="160"/>
      </w:pPr>
      <w:r>
        <w:t xml:space="preserve">Esta metodologia não elimina o risco — nenhuma prática elimina —, mas reduz sua superfície ao parar de depender do histórico da conversa como fonte de verdade.</w:t>
      </w:r>
    </w:p>
    <w:p>
      <w:pPr>
        <w:pStyle w:val="Heading1"/>
        <w:spacing w:after="200" w:before="400"/>
      </w:pPr>
      <w:r>
        <w:t xml:space="preserve">2. As três camadas de registro</w:t>
      </w:r>
    </w:p>
    <w:p>
      <w:pPr>
        <w:spacing w:after="160"/>
      </w:pPr>
      <w:r>
        <w:t xml:space="preserve">A prática central é separar três tipos de informação, cada uma com ciclo de vida próprio:</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600"/>
        <w:gridCol w:w="2347"/>
      </w:tblGrid>
      <w:tr>
        <w:tc>
          <w:tcPr>
            <w:tcW w:type="dxa" w:w="1900"/>
            <w:shd w:fill="2E4057" w:val="clear"/>
            <w:tcMar>
              <w:top w:type="dxa" w:w="100"/>
              <w:left w:type="dxa" w:w="120"/>
              <w:bottom w:type="dxa" w:w="100"/>
              <w:right w:type="dxa" w:w="120"/>
            </w:tcMar>
          </w:tcPr>
          <w:p>
            <w:r>
              <w:rPr>
                <w:b/>
                <w:bCs/>
                <w:color w:val="FFFFFF"/>
                <w:sz w:val="20"/>
                <w:szCs w:val="20"/>
              </w:rPr>
              <w:t xml:space="preserve">Camada</w:t>
            </w:r>
          </w:p>
        </w:tc>
        <w:tc>
          <w:tcPr>
            <w:tcW w:type="dxa" w:w="1900"/>
            <w:shd w:fill="2E4057" w:val="clear"/>
            <w:tcMar>
              <w:top w:type="dxa" w:w="100"/>
              <w:left w:type="dxa" w:w="120"/>
              <w:bottom w:type="dxa" w:w="100"/>
              <w:right w:type="dxa" w:w="120"/>
            </w:tcMar>
          </w:tcPr>
          <w:p>
            <w:r>
              <w:rPr>
                <w:b/>
                <w:bCs/>
                <w:color w:val="FFFFFF"/>
                <w:sz w:val="20"/>
                <w:szCs w:val="20"/>
              </w:rPr>
              <w:t xml:space="preserve">Onde vive</w:t>
            </w:r>
          </w:p>
        </w:tc>
        <w:tc>
          <w:tcPr>
            <w:tcW w:type="dxa" w:w="3600"/>
            <w:shd w:fill="2E4057" w:val="clear"/>
            <w:tcMar>
              <w:top w:type="dxa" w:w="100"/>
              <w:left w:type="dxa" w:w="120"/>
              <w:bottom w:type="dxa" w:w="100"/>
              <w:right w:type="dxa" w:w="120"/>
            </w:tcMar>
          </w:tcPr>
          <w:p>
            <w:r>
              <w:rPr>
                <w:b/>
                <w:bCs/>
                <w:color w:val="FFFFFF"/>
                <w:sz w:val="20"/>
                <w:szCs w:val="20"/>
              </w:rPr>
              <w:t xml:space="preserve">O que registra</w:t>
            </w:r>
          </w:p>
        </w:tc>
        <w:tc>
          <w:tcPr>
            <w:tcW w:type="dxa" w:w="2347"/>
            <w:shd w:fill="2E4057" w:val="clear"/>
            <w:tcMar>
              <w:top w:type="dxa" w:w="100"/>
              <w:left w:type="dxa" w:w="120"/>
              <w:bottom w:type="dxa" w:w="100"/>
              <w:right w:type="dxa" w:w="120"/>
            </w:tcMar>
          </w:tcPr>
          <w:p>
            <w:r>
              <w:rPr>
                <w:b/>
                <w:bCs/>
                <w:color w:val="FFFFFF"/>
                <w:sz w:val="20"/>
                <w:szCs w:val="20"/>
              </w:rPr>
              <w:t xml:space="preserve">Frequência</w:t>
            </w:r>
          </w:p>
        </w:tc>
      </w:tr>
      <w:tr>
        <w:tc>
          <w:tcPr>
            <w:tcW w:type="dxa" w:w="1900"/>
            <w:tcMar>
              <w:top w:type="dxa" w:w="100"/>
              <w:left w:type="dxa" w:w="120"/>
              <w:bottom w:type="dxa" w:w="100"/>
              <w:right w:type="dxa" w:w="120"/>
            </w:tcMar>
          </w:tcPr>
          <w:p>
            <w:r>
              <w:rPr>
                <w:b w:val="false"/>
                <w:bCs w:val="false"/>
                <w:sz w:val="20"/>
                <w:szCs w:val="20"/>
              </w:rPr>
              <w:t xml:space="preserve">Código</w:t>
            </w:r>
          </w:p>
        </w:tc>
        <w:tc>
          <w:tcPr>
            <w:tcW w:type="dxa" w:w="1900"/>
            <w:tcMar>
              <w:top w:type="dxa" w:w="100"/>
              <w:left w:type="dxa" w:w="120"/>
              <w:bottom w:type="dxa" w:w="100"/>
              <w:right w:type="dxa" w:w="120"/>
            </w:tcMar>
          </w:tcPr>
          <w:p>
            <w:r>
              <w:rPr>
                <w:b w:val="false"/>
                <w:bCs w:val="false"/>
                <w:sz w:val="20"/>
                <w:szCs w:val="20"/>
              </w:rPr>
              <w:t xml:space="preserve">Git</w:t>
            </w:r>
          </w:p>
        </w:tc>
        <w:tc>
          <w:tcPr>
            <w:tcW w:type="dxa" w:w="3600"/>
            <w:tcMar>
              <w:top w:type="dxa" w:w="100"/>
              <w:left w:type="dxa" w:w="120"/>
              <w:bottom w:type="dxa" w:w="100"/>
              <w:right w:type="dxa" w:w="120"/>
            </w:tcMar>
          </w:tcPr>
          <w:p>
            <w:r>
              <w:rPr>
                <w:b w:val="false"/>
                <w:bCs w:val="false"/>
                <w:sz w:val="20"/>
                <w:szCs w:val="20"/>
              </w:rPr>
              <w:t xml:space="preserve">O que funciona, hoje</w:t>
            </w:r>
          </w:p>
        </w:tc>
        <w:tc>
          <w:tcPr>
            <w:tcW w:type="dxa" w:w="2347"/>
            <w:tcMar>
              <w:top w:type="dxa" w:w="100"/>
              <w:left w:type="dxa" w:w="120"/>
              <w:bottom w:type="dxa" w:w="100"/>
              <w:right w:type="dxa" w:w="120"/>
            </w:tcMar>
          </w:tcPr>
          <w:p>
            <w:r>
              <w:rPr>
                <w:b w:val="false"/>
                <w:bCs w:val="false"/>
                <w:sz w:val="18"/>
                <w:szCs w:val="18"/>
              </w:rPr>
              <w:t xml:space="preserve">Contínua (commits)</w:t>
            </w:r>
          </w:p>
        </w:tc>
      </w:tr>
      <w:tr>
        <w:tc>
          <w:tcPr>
            <w:tcW w:type="dxa" w:w="1900"/>
            <w:tcMar>
              <w:top w:type="dxa" w:w="100"/>
              <w:left w:type="dxa" w:w="120"/>
              <w:bottom w:type="dxa" w:w="100"/>
              <w:right w:type="dxa" w:w="120"/>
            </w:tcMar>
          </w:tcPr>
          <w:p>
            <w:r>
              <w:rPr>
                <w:b w:val="false"/>
                <w:bCs w:val="false"/>
                <w:sz w:val="20"/>
                <w:szCs w:val="20"/>
              </w:rPr>
              <w:t xml:space="preserve">Decisões</w:t>
            </w:r>
          </w:p>
        </w:tc>
        <w:tc>
          <w:tcPr>
            <w:tcW w:type="dxa" w:w="1900"/>
            <w:tcMar>
              <w:top w:type="dxa" w:w="100"/>
              <w:left w:type="dxa" w:w="120"/>
              <w:bottom w:type="dxa" w:w="100"/>
              <w:right w:type="dxa" w:w="120"/>
            </w:tcMar>
          </w:tcPr>
          <w:p>
            <w:r>
              <w:rPr>
                <w:b w:val="false"/>
                <w:bCs w:val="false"/>
                <w:sz w:val="18"/>
                <w:szCs w:val="18"/>
              </w:rPr>
              <w:t xml:space="preserve">DECISIONS.md</w:t>
            </w:r>
          </w:p>
        </w:tc>
        <w:tc>
          <w:tcPr>
            <w:tcW w:type="dxa" w:w="3600"/>
            <w:tcMar>
              <w:top w:type="dxa" w:w="100"/>
              <w:left w:type="dxa" w:w="120"/>
              <w:bottom w:type="dxa" w:w="100"/>
              <w:right w:type="dxa" w:w="120"/>
            </w:tcMar>
          </w:tcPr>
          <w:p>
            <w:r>
              <w:rPr>
                <w:b w:val="false"/>
                <w:bCs w:val="false"/>
                <w:sz w:val="20"/>
                <w:szCs w:val="20"/>
              </w:rPr>
              <w:t xml:space="preserve">Por que escolhemos X e não Y</w:t>
            </w:r>
          </w:p>
        </w:tc>
        <w:tc>
          <w:tcPr>
            <w:tcW w:type="dxa" w:w="2347"/>
            <w:tcMar>
              <w:top w:type="dxa" w:w="100"/>
              <w:left w:type="dxa" w:w="120"/>
              <w:bottom w:type="dxa" w:w="100"/>
              <w:right w:type="dxa" w:w="120"/>
            </w:tcMar>
          </w:tcPr>
          <w:p>
            <w:r>
              <w:rPr>
                <w:b w:val="false"/>
                <w:bCs w:val="false"/>
                <w:sz w:val="16"/>
                <w:szCs w:val="16"/>
              </w:rPr>
              <w:t xml:space="preserve">Só quando há decisão relevante</w:t>
            </w:r>
          </w:p>
        </w:tc>
      </w:tr>
      <w:tr>
        <w:tc>
          <w:tcPr>
            <w:tcW w:type="dxa" w:w="1900"/>
            <w:tcMar>
              <w:top w:type="dxa" w:w="100"/>
              <w:left w:type="dxa" w:w="120"/>
              <w:bottom w:type="dxa" w:w="100"/>
              <w:right w:type="dxa" w:w="120"/>
            </w:tcMar>
          </w:tcPr>
          <w:p>
            <w:r>
              <w:rPr>
                <w:b w:val="false"/>
                <w:bCs w:val="false"/>
                <w:sz w:val="18"/>
                <w:szCs w:val="18"/>
              </w:rPr>
              <w:t xml:space="preserve">Estado / Checkpoint</w:t>
            </w:r>
          </w:p>
        </w:tc>
        <w:tc>
          <w:tcPr>
            <w:tcW w:type="dxa" w:w="1900"/>
            <w:tcMar>
              <w:top w:type="dxa" w:w="100"/>
              <w:left w:type="dxa" w:w="120"/>
              <w:bottom w:type="dxa" w:w="100"/>
              <w:right w:type="dxa" w:w="120"/>
            </w:tcMar>
          </w:tcPr>
          <w:p>
            <w:r>
              <w:rPr>
                <w:b w:val="false"/>
                <w:bCs w:val="false"/>
                <w:sz w:val="18"/>
                <w:szCs w:val="18"/>
              </w:rPr>
              <w:t xml:space="preserve">STATUS.md</w:t>
            </w:r>
          </w:p>
        </w:tc>
        <w:tc>
          <w:tcPr>
            <w:tcW w:type="dxa" w:w="3600"/>
            <w:tcMar>
              <w:top w:type="dxa" w:w="100"/>
              <w:left w:type="dxa" w:w="120"/>
              <w:bottom w:type="dxa" w:w="100"/>
              <w:right w:type="dxa" w:w="120"/>
            </w:tcMar>
          </w:tcPr>
          <w:p>
            <w:r>
              <w:rPr>
                <w:b w:val="false"/>
                <w:bCs w:val="false"/>
                <w:sz w:val="18"/>
                <w:szCs w:val="18"/>
              </w:rPr>
              <w:t xml:space="preserve">O que funciona agora e o que já foi tentado sem sucesso</w:t>
            </w:r>
          </w:p>
        </w:tc>
        <w:tc>
          <w:tcPr>
            <w:tcW w:type="dxa" w:w="2347"/>
            <w:tcMar>
              <w:top w:type="dxa" w:w="100"/>
              <w:left w:type="dxa" w:w="120"/>
              <w:bottom w:type="dxa" w:w="100"/>
              <w:right w:type="dxa" w:w="120"/>
            </w:tcMar>
          </w:tcPr>
          <w:p>
            <w:r>
              <w:rPr>
                <w:b w:val="false"/>
                <w:bCs w:val="false"/>
                <w:sz w:val="18"/>
                <w:szCs w:val="18"/>
              </w:rPr>
              <w:t xml:space="preserve">Por marco funcional</w:t>
            </w:r>
          </w:p>
        </w:tc>
      </w:tr>
    </w:tbl>
    <w:p>
      <w:pPr>
        <w:spacing w:after="200"/>
      </w:pPr>
    </w:p>
    <w:p>
      <w:pPr>
        <w:spacing w:after="160"/>
      </w:pPr>
      <w:r>
        <w:t xml:space="preserve">O chat em si deve ser tratado como espaço de trabalho descartável. O valor que sai dele migra para essas três camadas; o histórico da conversa não é, e não deve ser tratado como, fonte de verdade de nada.</w:t>
      </w:r>
    </w:p>
    <w:p>
      <w:pPr>
        <w:pStyle w:val="Heading1"/>
        <w:spacing w:after="200" w:before="400"/>
      </w:pPr>
      <w:r>
        <w:t xml:space="preserve">3. Duas formas de aplicar isso na prática</w:t>
      </w:r>
    </w:p>
    <w:p>
      <w:pPr>
        <w:pStyle w:val="Heading2"/>
        <w:spacing w:after="150" w:before="300"/>
      </w:pPr>
      <w:r>
        <w:t xml:space="preserve">3.1 Opção A — Chat comum (claude.ai)</w:t>
      </w:r>
    </w:p>
    <w:p>
      <w:pPr>
        <w:spacing w:after="160"/>
      </w:pPr>
      <w:r>
        <w:t xml:space="preserve">Fluxo manual: quem conduz o projeto é responsável por transportar o contexto entre sessões, colando um resumo no início de cada chat novo.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[Início de um chat novo, dentro do Project do repositório]</w:t>
      </w:r>
      <w:r>
        <w:rPr>
          <w:rFonts w:ascii="Consolas" w:cs="Consolas" w:eastAsia="Consolas" w:hAnsi="Consolas"/>
          <w:sz w:val="18"/>
          <w:szCs w:val="18"/>
        </w:rPr>
        <w:br/>
        <w:t xml:space="preserve"/>
      </w:r>
      <w:r>
        <w:rPr>
          <w:rFonts w:ascii="Consolas" w:cs="Consolas" w:eastAsia="Consolas" w:hAnsi="Consolas"/>
          <w:sz w:val="18"/>
          <w:szCs w:val="18"/>
        </w:rPr>
        <w:br/>
        <w:t xml:space="preserve">Contexto: pipeline de predição de evasão, fase de validação do</w:t>
      </w:r>
      <w:r>
        <w:rPr>
          <w:rFonts w:ascii="Consolas" w:cs="Consolas" w:eastAsia="Consolas" w:hAnsi="Consolas"/>
          <w:sz w:val="18"/>
          <w:szCs w:val="18"/>
        </w:rPr>
        <w:br/>
        <w:t xml:space="preserve">edital Smart Campus. Commit atual: a3f2c1d.</w:t>
      </w:r>
      <w:r>
        <w:rPr>
          <w:rFonts w:ascii="Consolas" w:cs="Consolas" w:eastAsia="Consolas" w:hAnsi="Consolas"/>
          <w:sz w:val="18"/>
          <w:szCs w:val="18"/>
        </w:rPr>
        <w:br/>
        <w:t xml:space="preserve"/>
      </w:r>
      <w:r>
        <w:rPr>
          <w:rFonts w:ascii="Consolas" w:cs="Consolas" w:eastAsia="Consolas" w:hAnsi="Consolas"/>
          <w:sz w:val="18"/>
          <w:szCs w:val="18"/>
        </w:rPr>
        <w:br/>
        <w:t xml:space="preserve">STATUS.md: funcionando — ingestão de dados do SIGAA, feature</w:t>
      </w:r>
      <w:r>
        <w:rPr>
          <w:rFonts w:ascii="Consolas" w:cs="Consolas" w:eastAsia="Consolas" w:hAnsi="Consolas"/>
          <w:sz w:val="18"/>
          <w:szCs w:val="18"/>
        </w:rPr>
        <w:br/>
        <w:t xml:space="preserve">engineering básico. Armadilha conhecida: balanceamento com SMOTE</w:t>
      </w:r>
      <w:r>
        <w:rPr>
          <w:rFonts w:ascii="Consolas" w:cs="Consolas" w:eastAsia="Consolas" w:hAnsi="Consolas"/>
          <w:sz w:val="18"/>
          <w:szCs w:val="18"/>
        </w:rPr>
        <w:br/>
        <w:t xml:space="preserve">puro piorou o recall da classe minoritária — usar class_weight.</w:t>
      </w:r>
      <w:r>
        <w:rPr>
          <w:rFonts w:ascii="Consolas" w:cs="Consolas" w:eastAsia="Consolas" w:hAnsi="Consolas"/>
          <w:sz w:val="18"/>
          <w:szCs w:val="18"/>
        </w:rPr>
        <w:br/>
        <w:t xml:space="preserve"/>
      </w:r>
      <w:r>
        <w:rPr>
          <w:rFonts w:ascii="Consolas" w:cs="Consolas" w:eastAsia="Consolas" w:hAnsi="Consolas"/>
          <w:sz w:val="18"/>
          <w:szCs w:val="18"/>
        </w:rPr>
        <w:br/>
        <w:t xml:space="preserve">Issues abertas: #14 ajustar hiperparâmetros do modelo,</w:t>
      </w:r>
      <w:r>
        <w:rPr>
          <w:rFonts w:ascii="Consolas" w:cs="Consolas" w:eastAsia="Consolas" w:hAnsi="Consolas"/>
          <w:sz w:val="18"/>
          <w:szCs w:val="18"/>
        </w:rPr>
        <w:br/>
        <w:t xml:space="preserve">#15 montar dashboard Streamlit.</w:t>
      </w:r>
      <w:r>
        <w:rPr>
          <w:rFonts w:ascii="Consolas" w:cs="Consolas" w:eastAsia="Consolas" w:hAnsi="Consolas"/>
          <w:sz w:val="18"/>
          <w:szCs w:val="18"/>
        </w:rPr>
        <w:br/>
        <w:t xml:space="preserve"/>
      </w:r>
      <w:r>
        <w:rPr>
          <w:rFonts w:ascii="Consolas" w:cs="Consolas" w:eastAsia="Consolas" w:hAnsi="Consolas"/>
          <w:sz w:val="18"/>
          <w:szCs w:val="18"/>
        </w:rPr>
        <w:br/>
        <w:t xml:space="preserve">Tarefa de hoje: implementar validação cruzada estratificada (issue #16).</w:t>
      </w:r>
    </w:p>
    <w:p>
      <w:pPr>
        <w:spacing w:after="160"/>
      </w:pPr>
      <w:r>
        <w:rPr>
          <w:b w:val="false"/>
          <w:bCs w:val="false"/>
        </w:rPr>
        <w:t xml:space="preserve">Vantagem: simples, sem dependências extras, funciona em qualquer navegador.</w:t>
      </w:r>
    </w:p>
    <w:p>
      <w:pPr>
        <w:spacing w:after="160"/>
      </w:pPr>
      <w:r>
        <w:t xml:space="preserve">Risco: depende inteiramente da disciplina de colar e atualizar o contexto — se for esquecido, o problema original volta a ocorrer.</w:t>
      </w:r>
    </w:p>
    <w:p>
      <w:pPr>
        <w:pStyle w:val="Heading2"/>
        <w:spacing w:after="150" w:before="300"/>
      </w:pPr>
      <w:r>
        <w:t xml:space="preserve">3.2 Opção B — Claude Code / terminal</w:t>
      </w:r>
    </w:p>
    <w:p>
      <w:pPr>
        <w:spacing w:after="160"/>
      </w:pPr>
      <w:r>
        <w:t xml:space="preserve">Fluxo semiautomático: um arquivo CLAUDE.md na raiz do repositório é carregado automaticamente a cada sessão nova, sem necessidade de colar contexto manualmente.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projeto/</w:t>
      </w:r>
      <w:r>
        <w:rPr>
          <w:rFonts w:ascii="Consolas" w:cs="Consolas" w:eastAsia="Consolas" w:hAnsi="Consolas"/>
          <w:sz w:val="18"/>
          <w:szCs w:val="18"/>
        </w:rPr>
        <w:br/>
        <w:t xml:space="preserve">├── CLAUDE.md          &lt;- lido automaticamente pela ferramenta</w:t>
      </w:r>
      <w:r>
        <w:rPr>
          <w:rFonts w:ascii="Consolas" w:cs="Consolas" w:eastAsia="Consolas" w:hAnsi="Consolas"/>
          <w:sz w:val="18"/>
          <w:szCs w:val="18"/>
        </w:rPr>
        <w:br/>
        <w:t xml:space="preserve">├── DECISIONS.md</w:t>
      </w:r>
      <w:r>
        <w:rPr>
          <w:rFonts w:ascii="Consolas" w:cs="Consolas" w:eastAsia="Consolas" w:hAnsi="Consolas"/>
          <w:sz w:val="18"/>
          <w:szCs w:val="18"/>
        </w:rPr>
        <w:br/>
        <w:t xml:space="preserve">├── STATUS.md</w:t>
      </w:r>
      <w:r>
        <w:rPr>
          <w:rFonts w:ascii="Consolas" w:cs="Consolas" w:eastAsia="Consolas" w:hAnsi="Consolas"/>
          <w:sz w:val="18"/>
          <w:szCs w:val="18"/>
        </w:rPr>
        <w:br/>
        <w:t xml:space="preserve">├── src/</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CLAUDE.md (exemplo mínimo)</w:t>
      </w:r>
      <w:r>
        <w:rPr>
          <w:rFonts w:ascii="Consolas" w:cs="Consolas" w:eastAsia="Consolas" w:hAnsi="Consolas"/>
          <w:sz w:val="18"/>
          <w:szCs w:val="18"/>
        </w:rPr>
        <w:br/>
        <w:t xml:space="preserve">## Projeto</w:t>
      </w:r>
      <w:r>
        <w:rPr>
          <w:rFonts w:ascii="Consolas" w:cs="Consolas" w:eastAsia="Consolas" w:hAnsi="Consolas"/>
          <w:sz w:val="18"/>
          <w:szCs w:val="18"/>
        </w:rPr>
        <w:br/>
        <w:t xml:space="preserve">Predição de evasão — edital Smart Campus, fase de validação.</w:t>
      </w:r>
      <w:r>
        <w:rPr>
          <w:rFonts w:ascii="Consolas" w:cs="Consolas" w:eastAsia="Consolas" w:hAnsi="Consolas"/>
          <w:sz w:val="18"/>
          <w:szCs w:val="18"/>
        </w:rPr>
        <w:br/>
        <w:t xml:space="preserve">## Convenções</w:t>
      </w:r>
      <w:r>
        <w:rPr>
          <w:rFonts w:ascii="Consolas" w:cs="Consolas" w:eastAsia="Consolas" w:hAnsi="Consolas"/>
          <w:sz w:val="18"/>
          <w:szCs w:val="18"/>
        </w:rPr>
        <w:br/>
        <w:t xml:space="preserve">Python, PEP8, testes em pytest, dados sensíveis nunca versionados.</w:t>
      </w:r>
      <w:r>
        <w:rPr>
          <w:rFonts w:ascii="Consolas" w:cs="Consolas" w:eastAsia="Consolas" w:hAnsi="Consolas"/>
          <w:sz w:val="18"/>
          <w:szCs w:val="18"/>
        </w:rPr>
        <w:br/>
        <w:t xml:space="preserve">## Ver também</w:t>
      </w:r>
      <w:r>
        <w:rPr>
          <w:rFonts w:ascii="Consolas" w:cs="Consolas" w:eastAsia="Consolas" w:hAnsi="Consolas"/>
          <w:sz w:val="18"/>
          <w:szCs w:val="18"/>
        </w:rPr>
        <w:br/>
        <w:t xml:space="preserve">STATUS.md (estado atual), DECISIONS.md (por que X e não Y)</w:t>
      </w:r>
    </w:p>
    <w:p>
      <w:pPr>
        <w:spacing w:after="160"/>
      </w:pPr>
      <w:r>
        <w:t xml:space="preserve">Vantagem: menos disciplina manual exigida; integração nativa com o repositório.</w:t>
      </w:r>
    </w:p>
    <w:p>
      <w:pPr>
        <w:spacing w:after="160"/>
      </w:pPr>
      <w:r>
        <w:t xml:space="preserve">Risco: exige instalação e configuração; curva de entrada maior para quem está começando.</w:t>
      </w:r>
    </w:p>
    <w:p>
      <w:pPr>
        <w:pBdr>
          <w:left w:val="single" w:color="E6A23C" w:sz="24"/>
        </w:pBdr>
        <w:shd w:fill="FFF4E5" w:val="clear"/>
        <w:spacing w:after="200" w:before="120"/>
        <w:ind w:left="100"/>
      </w:pPr>
      <w:r>
        <w:rPr>
          <w:b/>
          <w:bCs/>
        </w:rPr>
        <w:t xml:space="preserve">Escolha prática: </w:t>
      </w:r>
      <w:r>
        <w:t xml:space="preserve">Nenhuma das duas opções elimina a necessidade de manter os documentos de estado e decisões atualizados — a diferença é apenas quem transporta o contexto: a pessoa (Opção A) ou a ferramenta (Opção B). Recomenda-se a Opção A para primeiros contatos com a metodologia e a Opção B à medida que o projeto amadurece.</w:t>
      </w:r>
    </w:p>
    <w:p>
      <w:pPr>
        <w:pStyle w:val="Heading1"/>
        <w:spacing w:after="200" w:before="400"/>
      </w:pPr>
      <w:r>
        <w:t xml:space="preserve">4. Passo a passo para começar um projeto novo</w:t>
      </w:r>
    </w:p>
    <w:p>
      <w:pPr>
        <w:pStyle w:val="Heading2"/>
        <w:spacing w:after="150" w:before="300"/>
      </w:pPr>
      <w:r>
        <w:t xml:space="preserve">4.1 Git antes de qualquer coisa</w:t>
      </w:r>
    </w:p>
    <w:p>
      <w:pPr>
        <w:spacing w:after="160"/>
      </w:pPr>
      <w:r>
        <w:t xml:space="preserve">Se o projeto ainda não tem repositório versionado, este é o primeiro passo — antes mesmo de pensar em uso de IA. Sem controle de versão, qualquer disciplina de checkpoint vira cópia manual de arquivos, frágil e não confiável.</w:t>
      </w:r>
    </w:p>
    <w:p>
      <w:pPr>
        <w:pStyle w:val="Heading2"/>
        <w:spacing w:after="150" w:before="300"/>
      </w:pPr>
      <w:r>
        <w:t xml:space="preserve">4.2 Criar o arquivo de contexto do projeto</w:t>
      </w:r>
    </w:p>
    <w:p>
      <w:pPr>
        <w:spacing w:after="160"/>
      </w:pPr>
      <w:r>
        <w:t xml:space="preserve">Um README.md ou CLAUDE.md na raiz do repositório: objetivo do projeto, stack utilizada, convenções de nomenclatura, estrutura de pastas. Este é o arquivo colado (Opção A) ou carregado automaticamente (Opção B) no início de qualquer sessão nova.</w:t>
      </w:r>
    </w:p>
    <w:p>
      <w:pPr>
        <w:pStyle w:val="Heading2"/>
        <w:spacing w:after="150" w:before="300"/>
      </w:pPr>
      <w:r>
        <w:t xml:space="preserve">4.3 Abrir um log de decisões (DECISIONS.md)</w:t>
      </w:r>
    </w:p>
    <w:p>
      <w:pPr>
        <w:spacing w:after="160"/>
      </w:pPr>
      <w:r>
        <w:t xml:space="preserve">Um registro para decisões relevantes: data, contexto, opções consideradas, escolha feita, justificativa. Não é para toda linha de código — apenas para decisões que, se esquecidas, levariam a retrabalho.</w:t>
      </w:r>
    </w:p>
    <w:p>
      <w:pPr>
        <w:pStyle w:val="ListParagraph"/>
        <w:numPr>
          <w:ilvl w:val="0"/>
          <w:numId w:val="2"/>
        </w:numPr>
        <w:spacing w:after="80"/>
      </w:pPr>
      <w:r>
        <w:t xml:space="preserve">Exemplo: “por que usamos regressão logística e não random forest na Fase 1”</w:t>
      </w:r>
    </w:p>
    <w:p>
      <w:pPr>
        <w:pStyle w:val="ListParagraph"/>
        <w:numPr>
          <w:ilvl w:val="0"/>
          <w:numId w:val="2"/>
        </w:numPr>
        <w:spacing w:after="80"/>
      </w:pPr>
      <w:r>
        <w:t xml:space="preserve">Uma frase de contexto + uma frase de justificativa já é suficiente na maioria dos casos</w:t>
      </w:r>
    </w:p>
    <w:p>
      <w:pPr>
        <w:pStyle w:val="Heading2"/>
        <w:spacing w:after="150" w:before="300"/>
      </w:pPr>
      <w:r>
        <w:t xml:space="preserve">4.4 Definir o gatilho de checkpoint</w:t>
      </w:r>
    </w:p>
    <w:p>
      <w:pPr>
        <w:spacing w:after="160"/>
      </w:pPr>
      <w:r>
        <w:t xml:space="preserve">O gatilho correto não é tempo (“o chat ficou grande”) — é marco funcional: uma funcionalidade testada e funcionando, um modelo treinado e validado, um pipeline rodando ponta a ponta. A sequência exata de passos ao atingir um marco está detalhada na Seção 4.10.</w:t>
      </w:r>
    </w:p>
    <w:p>
      <w:pPr>
        <w:pStyle w:val="Heading2"/>
        <w:spacing w:after="150" w:before="300"/>
      </w:pPr>
      <w:r>
        <w:t xml:space="preserve">4.5 Escrever o doc de estado (STATUS.md)</w:t>
      </w:r>
    </w:p>
    <w:p>
      <w:pPr>
        <w:spacing w:after="160"/>
      </w:pPr>
      <w:r>
        <w:t xml:space="preserve">Curto e descartável — reescrito a cada checkpoint, não um histórico acumulado. Com o rastreamento de tarefas migrado para o GitHub Issues (Seção 4.7), o STATUS.md fica mais enxuto e focado em duas coisas que Issues não capturam bem:</w:t>
      </w:r>
    </w:p>
    <w:p>
      <w:pPr>
        <w:pStyle w:val="ListParagraph"/>
        <w:numPr>
          <w:ilvl w:val="0"/>
          <w:numId w:val="2"/>
        </w:numPr>
        <w:spacing w:after="80"/>
      </w:pPr>
      <w:r>
        <w:t xml:space="preserve">O que está funcionando agora (síntese em uma ou duas frases, não uma lista de tarefas)</w:t>
      </w:r>
    </w:p>
    <w:p>
      <w:pPr>
        <w:pStyle w:val="ListParagraph"/>
        <w:numPr>
          <w:ilvl w:val="0"/>
          <w:numId w:val="2"/>
        </w:numPr>
        <w:spacing w:after="80"/>
      </w:pPr>
      <w:r>
        <w:t xml:space="preserve">Armadilhas conhecidas — o que já foi tentado e não funcionou, e por quê, para não repetir</w:t>
      </w:r>
    </w:p>
    <w:p>
      <w:pPr>
        <w:pBdr>
          <w:left w:val="single" w:color="E6A23C" w:sz="24"/>
        </w:pBdr>
        <w:shd w:fill="FFF4E5" w:val="clear"/>
        <w:spacing w:after="200" w:before="120"/>
        <w:ind w:left="100"/>
      </w:pPr>
      <w:r>
        <w:rPr>
          <w:b/>
          <w:bCs/>
        </w:rPr>
        <w:t xml:space="preserve">Por que só isso: </w:t>
      </w:r>
      <w:r>
        <w:t xml:space="preserve">Pendências, “em andamento” e “feito” agora vivem nas Issues, que têm estado, busca e fechamento automático melhores do que uma lista em markdown. O que sobra para o STATUS.md é justamente o que as Issues não registram bem: uma leitura rápida do estado geral do projeto, e principalmente o conhecimento negativo (tentativas descartadas) que não tem lugar natural no ciclo aberto/fechado de uma issue.</w:t>
      </w:r>
    </w:p>
    <w:p>
      <w:pPr>
        <w:pStyle w:val="Heading2"/>
        <w:spacing w:after="150" w:before="300"/>
      </w:pPr>
      <w:r>
        <w:t xml:space="preserve">4.6 Granularidade: uma heurística simples</w:t>
      </w:r>
    </w:p>
    <w:p>
      <w:pPr>
        <w:spacing w:after="160"/>
      </w:pPr>
      <w:r>
        <w:t xml:space="preserve">“Um chat por sprint” não funciona bem como critério — sprint é uma janela de tempo, não uma unidade de trabalho coerente, e pode acumular tarefas sem relação lógica entre si dentro do mesmo chat. Uma heurística mais operacional, ancorada em algo que já faz parte do processo (o commit):</w:t>
      </w:r>
    </w:p>
    <w:p>
      <w:pPr>
        <w:pBdr>
          <w:left w:val="single" w:color="E6A23C" w:sz="24"/>
        </w:pBdr>
        <w:shd w:fill="FFF4E5" w:val="clear"/>
        <w:spacing w:after="200" w:before="120"/>
        <w:ind w:left="100"/>
      </w:pPr>
      <w:r>
        <w:rPr>
          <w:b/>
          <w:bCs/>
        </w:rPr>
        <w:t xml:space="preserve">Regra prática: </w:t>
      </w:r>
      <w:r>
        <w:t xml:space="preserve">Um chat cobre o trabalho que termina em um commit com mensagem de uma linha, sem a palavra “e” no meio. Se, ao escrever a mensagem, for necessário usar “e” para descrever o que foi feito, isso é sinal de que o chat deveria ter sido dividido em dois.</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5800"/>
        <w:gridCol w:w="3947"/>
      </w:tblGrid>
      <w:tr>
        <w:tc>
          <w:tcPr>
            <w:tcW w:type="dxa" w:w="5800"/>
            <w:shd w:fill="2E4057" w:val="clear"/>
            <w:tcMar>
              <w:top w:type="dxa" w:w="100"/>
              <w:left w:type="dxa" w:w="120"/>
              <w:bottom w:type="dxa" w:w="100"/>
              <w:right w:type="dxa" w:w="120"/>
            </w:tcMar>
          </w:tcPr>
          <w:p>
            <w:r>
              <w:rPr>
                <w:b/>
                <w:bCs/>
                <w:color w:val="FFFFFF"/>
                <w:sz w:val="20"/>
                <w:szCs w:val="20"/>
              </w:rPr>
              <w:t xml:space="preserve">Mensagem de commit</w:t>
            </w:r>
          </w:p>
        </w:tc>
        <w:tc>
          <w:tcPr>
            <w:tcW w:type="dxa" w:w="3947"/>
            <w:shd w:fill="2E4057" w:val="clear"/>
            <w:tcMar>
              <w:top w:type="dxa" w:w="100"/>
              <w:left w:type="dxa" w:w="120"/>
              <w:bottom w:type="dxa" w:w="100"/>
              <w:right w:type="dxa" w:w="120"/>
            </w:tcMar>
          </w:tcPr>
          <w:p>
            <w:r>
              <w:rPr>
                <w:b/>
                <w:bCs/>
                <w:color w:val="FFFFFF"/>
                <w:sz w:val="20"/>
                <w:szCs w:val="20"/>
              </w:rPr>
              <w:t xml:space="preserve">Cabe num chat só?</w:t>
            </w:r>
          </w:p>
        </w:tc>
      </w:tr>
      <w:tr>
        <w:tc>
          <w:tcPr>
            <w:tcW w:type="dxa" w:w="5800"/>
            <w:tcMar>
              <w:top w:type="dxa" w:w="100"/>
              <w:left w:type="dxa" w:w="120"/>
              <w:bottom w:type="dxa" w:w="100"/>
              <w:right w:type="dxa" w:w="120"/>
            </w:tcMar>
          </w:tcPr>
          <w:p>
            <w:r>
              <w:rPr>
                <w:b w:val="false"/>
                <w:bCs w:val="false"/>
                <w:sz w:val="20"/>
                <w:szCs w:val="20"/>
              </w:rPr>
              <w:t xml:space="preserve">Implementa função de leitura do CSV</w:t>
            </w:r>
          </w:p>
        </w:tc>
        <w:tc>
          <w:tcPr>
            <w:tcW w:type="dxa" w:w="3947"/>
            <w:tcMar>
              <w:top w:type="dxa" w:w="100"/>
              <w:left w:type="dxa" w:w="120"/>
              <w:bottom w:type="dxa" w:w="100"/>
              <w:right w:type="dxa" w:w="120"/>
            </w:tcMar>
          </w:tcPr>
          <w:p>
            <w:r>
              <w:rPr>
                <w:b w:val="false"/>
                <w:bCs w:val="false"/>
                <w:sz w:val="20"/>
                <w:szCs w:val="20"/>
              </w:rPr>
              <w:t xml:space="preserve">Sim</w:t>
            </w:r>
          </w:p>
        </w:tc>
      </w:tr>
      <w:tr>
        <w:tc>
          <w:tcPr>
            <w:tcW w:type="dxa" w:w="5800"/>
            <w:tcMar>
              <w:top w:type="dxa" w:w="100"/>
              <w:left w:type="dxa" w:w="120"/>
              <w:bottom w:type="dxa" w:w="100"/>
              <w:right w:type="dxa" w:w="120"/>
            </w:tcMar>
          </w:tcPr>
          <w:p>
            <w:r>
              <w:rPr>
                <w:b w:val="false"/>
                <w:bCs w:val="false"/>
                <w:sz w:val="18"/>
                <w:szCs w:val="18"/>
              </w:rPr>
              <w:t xml:space="preserve">Implementa leitura do CSV e ajusta hiperparâmetros do modelo</w:t>
            </w:r>
          </w:p>
        </w:tc>
        <w:tc>
          <w:tcPr>
            <w:tcW w:type="dxa" w:w="3947"/>
            <w:tcMar>
              <w:top w:type="dxa" w:w="100"/>
              <w:left w:type="dxa" w:w="120"/>
              <w:bottom w:type="dxa" w:w="100"/>
              <w:right w:type="dxa" w:w="120"/>
            </w:tcMar>
          </w:tcPr>
          <w:p>
            <w:r>
              <w:rPr>
                <w:b w:val="false"/>
                <w:bCs w:val="false"/>
                <w:sz w:val="20"/>
                <w:szCs w:val="20"/>
              </w:rPr>
              <w:t xml:space="preserve">Não — dois chats</w:t>
            </w:r>
          </w:p>
        </w:tc>
      </w:tr>
      <w:tr>
        <w:tc>
          <w:tcPr>
            <w:tcW w:type="dxa" w:w="5800"/>
            <w:tcMar>
              <w:top w:type="dxa" w:w="100"/>
              <w:left w:type="dxa" w:w="120"/>
              <w:bottom w:type="dxa" w:w="100"/>
              <w:right w:type="dxa" w:w="120"/>
            </w:tcMar>
          </w:tcPr>
          <w:p>
            <w:r>
              <w:rPr>
                <w:b w:val="false"/>
                <w:bCs w:val="false"/>
                <w:sz w:val="20"/>
                <w:szCs w:val="20"/>
              </w:rPr>
              <w:t xml:space="preserve">Corrige bug na normalização de dados</w:t>
            </w:r>
          </w:p>
        </w:tc>
        <w:tc>
          <w:tcPr>
            <w:tcW w:type="dxa" w:w="3947"/>
            <w:tcMar>
              <w:top w:type="dxa" w:w="100"/>
              <w:left w:type="dxa" w:w="120"/>
              <w:bottom w:type="dxa" w:w="100"/>
              <w:right w:type="dxa" w:w="120"/>
            </w:tcMar>
          </w:tcPr>
          <w:p>
            <w:r>
              <w:rPr>
                <w:b w:val="false"/>
                <w:bCs w:val="false"/>
                <w:sz w:val="20"/>
                <w:szCs w:val="20"/>
              </w:rPr>
              <w:t xml:space="preserve">Sim</w:t>
            </w:r>
          </w:p>
        </w:tc>
      </w:tr>
      <w:tr>
        <w:tc>
          <w:tcPr>
            <w:tcW w:type="dxa" w:w="5800"/>
            <w:tcMar>
              <w:top w:type="dxa" w:w="100"/>
              <w:left w:type="dxa" w:w="120"/>
              <w:bottom w:type="dxa" w:w="100"/>
              <w:right w:type="dxa" w:w="120"/>
            </w:tcMar>
          </w:tcPr>
          <w:p>
            <w:r>
              <w:rPr>
                <w:b w:val="false"/>
                <w:bCs w:val="false"/>
                <w:sz w:val="18"/>
                <w:szCs w:val="18"/>
              </w:rPr>
              <w:t xml:space="preserve">Corrige bug de normalização e atualiza README e testa modelo novo</w:t>
            </w:r>
          </w:p>
        </w:tc>
        <w:tc>
          <w:tcPr>
            <w:tcW w:type="dxa" w:w="3947"/>
            <w:tcMar>
              <w:top w:type="dxa" w:w="100"/>
              <w:left w:type="dxa" w:w="120"/>
              <w:bottom w:type="dxa" w:w="100"/>
              <w:right w:type="dxa" w:w="120"/>
            </w:tcMar>
          </w:tcPr>
          <w:p>
            <w:r>
              <w:rPr>
                <w:b w:val="false"/>
                <w:bCs w:val="false"/>
                <w:sz w:val="18"/>
                <w:szCs w:val="18"/>
              </w:rPr>
              <w:t xml:space="preserve">Não — três tarefas disfarçadas de uma</w:t>
            </w:r>
          </w:p>
        </w:tc>
      </w:tr>
    </w:tbl>
    <w:p>
      <w:pPr>
        <w:spacing w:after="200"/>
      </w:pPr>
    </w:p>
    <w:p>
      <w:pPr>
        <w:spacing w:after="160"/>
      </w:pPr>
      <w:r>
        <w:t xml:space="preserve">Exceção legítima: depuração de bugs, onde a causa raiz só se revela durante a investigação e pode exigir tocar em partes do código que não pareciam relacionadas no início. Isso não é o mesmo erro do exemplo acima — a extensão do trabalho apareceu durante o chat, não foi planejada de antemão. O critério do “e” vale para o que se planeja fazer ao abrir o chat, não para forçar uma interrupção no meio de uma investigação em andamento.</w:t>
      </w:r>
    </w:p>
    <w:p>
      <w:pPr>
        <w:pStyle w:val="Heading2"/>
        <w:spacing w:after="150" w:before="300"/>
      </w:pPr>
      <w:r>
        <w:t xml:space="preserve">4.7 Rastreamento de tarefas: GitHub Issues, não uma lista dentro do STATUS.md</w:t>
      </w:r>
    </w:p>
    <w:p>
      <w:pPr>
        <w:spacing w:after="160"/>
      </w:pPr>
      <w:r>
        <w:t xml:space="preserve">A parte de “a fazer / em andamento / feito” que antes vivia dentro do STATUS.md migra melhor para o GitHub Issues, já disponível gratuitamente dentro do próprio repositório:</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4200"/>
        <w:gridCol w:w="5547"/>
      </w:tblGrid>
      <w:tr>
        <w:tc>
          <w:tcPr>
            <w:tcW w:type="dxa" w:w="4200"/>
            <w:shd w:fill="2E4057" w:val="clear"/>
            <w:tcMar>
              <w:top w:type="dxa" w:w="100"/>
              <w:left w:type="dxa" w:w="120"/>
              <w:bottom w:type="dxa" w:w="100"/>
              <w:right w:type="dxa" w:w="120"/>
            </w:tcMar>
          </w:tcPr>
          <w:p>
            <w:r>
              <w:rPr>
                <w:b/>
                <w:bCs/>
                <w:color w:val="FFFFFF"/>
                <w:sz w:val="20"/>
                <w:szCs w:val="20"/>
              </w:rPr>
              <w:t xml:space="preserve">Antes (STATUS.md)</w:t>
            </w:r>
          </w:p>
        </w:tc>
        <w:tc>
          <w:tcPr>
            <w:tcW w:type="dxa" w:w="5547"/>
            <w:shd w:fill="2E4057" w:val="clear"/>
            <w:tcMar>
              <w:top w:type="dxa" w:w="100"/>
              <w:left w:type="dxa" w:w="120"/>
              <w:bottom w:type="dxa" w:w="100"/>
              <w:right w:type="dxa" w:w="120"/>
            </w:tcMar>
          </w:tcPr>
          <w:p>
            <w:r>
              <w:rPr>
                <w:b/>
                <w:bCs/>
                <w:color w:val="FFFFFF"/>
                <w:sz w:val="20"/>
                <w:szCs w:val="20"/>
              </w:rPr>
              <w:t xml:space="preserve">Agora (GitHub Issues)</w:t>
            </w:r>
          </w:p>
        </w:tc>
      </w:tr>
      <w:tr>
        <w:tc>
          <w:tcPr>
            <w:tcW w:type="dxa" w:w="4200"/>
            <w:tcMar>
              <w:top w:type="dxa" w:w="100"/>
              <w:left w:type="dxa" w:w="120"/>
              <w:bottom w:type="dxa" w:w="100"/>
              <w:right w:type="dxa" w:w="120"/>
            </w:tcMar>
          </w:tcPr>
          <w:p>
            <w:r>
              <w:rPr>
                <w:b w:val="false"/>
                <w:bCs w:val="false"/>
                <w:sz w:val="20"/>
                <w:szCs w:val="20"/>
              </w:rPr>
              <w:t xml:space="preserve">A fazer</w:t>
            </w:r>
          </w:p>
        </w:tc>
        <w:tc>
          <w:tcPr>
            <w:tcW w:type="dxa" w:w="5547"/>
            <w:tcMar>
              <w:top w:type="dxa" w:w="100"/>
              <w:left w:type="dxa" w:w="120"/>
              <w:bottom w:type="dxa" w:w="100"/>
              <w:right w:type="dxa" w:w="120"/>
            </w:tcMar>
          </w:tcPr>
          <w:p>
            <w:r>
              <w:rPr>
                <w:b w:val="false"/>
                <w:bCs w:val="false"/>
                <w:sz w:val="20"/>
                <w:szCs w:val="20"/>
              </w:rPr>
              <w:t xml:space="preserve">Issue aberta</w:t>
            </w:r>
          </w:p>
        </w:tc>
      </w:tr>
      <w:tr>
        <w:tc>
          <w:tcPr>
            <w:tcW w:type="dxa" w:w="4200"/>
            <w:tcMar>
              <w:top w:type="dxa" w:w="100"/>
              <w:left w:type="dxa" w:w="120"/>
              <w:bottom w:type="dxa" w:w="100"/>
              <w:right w:type="dxa" w:w="120"/>
            </w:tcMar>
          </w:tcPr>
          <w:p>
            <w:r>
              <w:rPr>
                <w:b w:val="false"/>
                <w:bCs w:val="false"/>
                <w:sz w:val="20"/>
                <w:szCs w:val="20"/>
              </w:rPr>
              <w:t xml:space="preserve">Em andamento</w:t>
            </w:r>
          </w:p>
        </w:tc>
        <w:tc>
          <w:tcPr>
            <w:tcW w:type="dxa" w:w="5547"/>
            <w:tcMar>
              <w:top w:type="dxa" w:w="100"/>
              <w:left w:type="dxa" w:w="120"/>
              <w:bottom w:type="dxa" w:w="100"/>
              <w:right w:type="dxa" w:w="120"/>
            </w:tcMar>
          </w:tcPr>
          <w:p>
            <w:r>
              <w:rPr>
                <w:b w:val="false"/>
                <w:bCs w:val="false"/>
                <w:sz w:val="18"/>
                <w:szCs w:val="18"/>
              </w:rPr>
              <w:t xml:space="preserve">Issue aberta, com label ou atribuída a alguém</w:t>
            </w:r>
          </w:p>
        </w:tc>
      </w:tr>
      <w:tr>
        <w:tc>
          <w:tcPr>
            <w:tcW w:type="dxa" w:w="4200"/>
            <w:tcMar>
              <w:top w:type="dxa" w:w="100"/>
              <w:left w:type="dxa" w:w="120"/>
              <w:bottom w:type="dxa" w:w="100"/>
              <w:right w:type="dxa" w:w="120"/>
            </w:tcMar>
          </w:tcPr>
          <w:p>
            <w:r>
              <w:rPr>
                <w:b w:val="false"/>
                <w:bCs w:val="false"/>
                <w:sz w:val="20"/>
                <w:szCs w:val="20"/>
              </w:rPr>
              <w:t xml:space="preserve">Feito</w:t>
            </w:r>
          </w:p>
        </w:tc>
        <w:tc>
          <w:tcPr>
            <w:tcW w:type="dxa" w:w="5547"/>
            <w:tcMar>
              <w:top w:type="dxa" w:w="100"/>
              <w:left w:type="dxa" w:w="120"/>
              <w:bottom w:type="dxa" w:w="100"/>
              <w:right w:type="dxa" w:w="120"/>
            </w:tcMar>
          </w:tcPr>
          <w:p>
            <w:r>
              <w:rPr>
                <w:b w:val="false"/>
                <w:bCs w:val="false"/>
                <w:sz w:val="20"/>
                <w:szCs w:val="20"/>
              </w:rPr>
              <w:t xml:space="preserve">Issue fechada</w:t>
            </w:r>
          </w:p>
        </w:tc>
      </w:tr>
    </w:tbl>
    <w:p>
      <w:pPr>
        <w:spacing w:after="200"/>
      </w:pPr>
    </w:p>
    <w:p>
      <w:pPr>
        <w:pBdr>
          <w:left w:val="single" w:color="E6A23C" w:sz="24"/>
        </w:pBdr>
        <w:shd w:fill="FFF4E5" w:val="clear"/>
        <w:spacing w:after="200" w:before="120"/>
        <w:ind w:left="100"/>
      </w:pPr>
      <w:r>
        <w:rPr>
          <w:b/>
          <w:bCs/>
        </w:rPr>
        <w:t xml:space="preserve">Fechamento automático: </w:t>
      </w:r>
      <w:r>
        <w:t xml:space="preserve">Uma issue não fecha um commit — é o inverso: um commit (ou PR) cuja mensagem contém “Closes #12”, “Fixes #12” ou “Resolves #12” fecha a issue #12 automaticamente ao chegar na branch principal. Sem essa palavra-chave, a issue permanece aberta mesmo com o código já pronto — é um passo que precisa ser pedido explicitamente ao gerar o commit, não algo inferido sozinho.</w:t>
      </w:r>
    </w:p>
    <w:p>
      <w:pPr>
        <w:spacing w:after="160"/>
      </w:pPr>
      <w:r>
        <w:t xml:space="preserve">O princípio de hipótese revisável continua valendo, agora aplicado às issues: uma issue aberta é um ponto de partida, não um compromisso. Reescrever, fechar sem resolver (“won't fix”) ou dividir uma issue em duas durante o trabalho é esperado. Quando isso envolver uma mudança de rota não trivial, o motivo continua indo para o DECISIONS.md — que não migra para lugar nenhum, permanece como estava.</w:t>
      </w:r>
    </w:p>
    <w:p>
      <w:pPr>
        <w:pBdr>
          <w:left w:val="single" w:color="E6A23C" w:sz="24"/>
        </w:pBdr>
        <w:shd w:fill="FFF4E5" w:val="clear"/>
        <w:spacing w:after="200" w:before="120"/>
        <w:ind w:left="100"/>
      </w:pPr>
      <w:r>
        <w:rPr>
          <w:b/>
          <w:bCs/>
        </w:rPr>
        <w:t xml:space="preserve">O que não migra: </w:t>
      </w:r>
      <w:r>
        <w:t xml:space="preserve">DECISIONS.md continua sendo o registro de decisões — uma decisão não tem um ciclo natural de aberta/fechada, então forçá-la dentro de uma issue mistura dois tipos de informação que valem a pena manter separados. O STATUS.md também não desaparece: perde a lista de pendências, mas mantém a síntese do que funciona e as armadilhas conhecidas (Seção 4.5), que Issues não cobrem bem.</w:t>
      </w:r>
    </w:p>
    <w:p>
      <w:pPr>
        <w:spacing w:after="160"/>
      </w:pPr>
      <w:r>
        <w:t xml:space="preserve">Duas ressalvas práticas antes de adotar: o Claude Code não lê issues automaticamente como lê o CLAUDE.md — é preciso pedir explicitamente (“veja as issues abertas”), o que aciona o comando gh issue list via terminal. E, para projeto individual com poucas tarefas, filtrar issues por label já entrega a maior parte do valor prático — um GitHub Project (quadro kanban) só compensa se o projeto crescer para múltiplos repositórios ou múltiplos colaboradores; adicionar o quadro antes disso é mais uma superfície para manter atualizada sem ganho correspondente.</w:t>
      </w:r>
    </w:p>
    <w:p>
      <w:pPr>
        <w:pStyle w:val="Heading2"/>
        <w:spacing w:after="150" w:before="300"/>
      </w:pPr>
      <w:r>
        <w:t xml:space="preserve">4.8 Gate de compreensão antes de avançar</w:t>
      </w:r>
    </w:p>
    <w:p>
      <w:pPr>
        <w:spacing w:after="160"/>
      </w:pPr>
      <w:r>
        <w:t xml:space="preserve">Chats menores, com menos código gerado por vez, reduzem o risco prático de erro propagado — mas não porque o modelo erra menos em sessões curtas. O mecanismo real é outro: menos código por vez torna viável revisar tudo antes de seguir adiante. O tamanho do chat é instrumental; o que de fato reduz o risco é a revisão humana funcionando como barreira obrigatória entre um grão e o próximo.</w:t>
      </w:r>
    </w:p>
    <w:p>
      <w:pPr>
        <w:pBdr>
          <w:left w:val="single" w:color="E6A23C" w:sz="24"/>
        </w:pBdr>
        <w:shd w:fill="FFF4E5" w:val="clear"/>
        <w:spacing w:after="200" w:before="120"/>
        <w:ind w:left="100"/>
      </w:pPr>
      <w:r>
        <w:rPr>
          <w:b/>
          <w:bCs/>
        </w:rPr>
        <w:t xml:space="preserve">Gate de compreensão: </w:t>
      </w:r>
      <w:r>
        <w:t xml:space="preserve">Não avançar para o próximo grão até conseguir explicar, sem consultar o chat, o que o código faz e por que essa abordagem foi escolhida — em voz alta ou por escrito, como se fosse responder a uma pergunta de banca. Se a explicação não sai sem reabrir a conversa, o código ainda não foi entendido, mesmo que esteja funcionando.</w:t>
      </w:r>
    </w:p>
    <w:p>
      <w:pPr>
        <w:spacing w:after="160"/>
      </w:pPr>
      <w:r>
        <w:t xml:space="preserve">Para projetos acadêmicos (PIBIC, PIBITI, TCC), esse gate não é apenas boa prática de engenharia — é pré-condição para a defesa. Um aluno que não consegue justificar por que o código faz o que faz não sobrevive a uma banca perguntando, por exemplo, por que foi usada uma abordagem de validação cruzada em vez de outra. Isso eleva a prática de recomendação de qualidade a requisito funcional do processo, e costuma ser um argumento mais convincente para o aluno do que qualquer justificativa técnica sobre janela de contexto.</w:t>
      </w:r>
    </w:p>
    <w:p>
      <w:pPr>
        <w:pBdr>
          <w:left w:val="single" w:color="E6A23C" w:sz="24"/>
        </w:pBdr>
        <w:shd w:fill="FFF4E5" w:val="clear"/>
        <w:spacing w:after="200" w:before="120"/>
        <w:ind w:left="100"/>
      </w:pPr>
      <w:r>
        <w:rPr>
          <w:b/>
          <w:bCs/>
        </w:rPr>
        <w:t xml:space="preserve">Contrapartida a considerar: </w:t>
      </w:r>
      <w:r>
        <w:t xml:space="preserve">Este gate tem custo real: parar para entender antes de seguir compete com a pressão de produzir resultado rápido, especialmente em projetos de prazo curto. A troca é velocidade de curto prazo por evitar retrabalho e por viabilizar a defesa do trabalho — para pesquisa acadêmica, geralmente vale a pena, mas deve ser entendida como uma troca deliberada, não um passo sem custo.</w:t>
      </w:r>
    </w:p>
    <w:p>
      <w:pPr>
        <w:spacing w:after="160"/>
      </w:pPr>
      <w:r>
        <w:t xml:space="preserve">Um efeito colateral positivo do gate: código gerado em excesso, sem que o volume seja revisável, tende a gerar a falsa sensação de progresso — muitas linhas produzidas, pouca compreensão real do que foi construído. Manter o grão pequeno o suficiente para caber no gate de compreensão é o que impede esse acúmulo silencioso de dívida de entendimento.</w:t>
      </w:r>
    </w:p>
    <w:p>
      <w:pPr>
        <w:pStyle w:val="Heading2"/>
        <w:spacing w:after="150" w:before="300"/>
      </w:pPr>
      <w:r>
        <w:t xml:space="preserve">4.9 Testes como parte do grão, não como etapa opcional depois</w:t>
      </w:r>
    </w:p>
    <w:p>
      <w:pPr>
        <w:spacing w:after="160"/>
      </w:pPr>
      <w:r>
        <w:t xml:space="preserve">Pedir testes junto com o código é uma extensão natural do gate de compreensão da Seção 4.8 — mas “sempre pedir teste de unidade” como regra única ignora que nem todo código é igualmente testável dessa forma. Testes unitários clássicos pressupõem comportamento determinístico e verificável por asserção simples, o que não descreve bem todo o código de um projeto de pesquisa:</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4200"/>
        <w:gridCol w:w="5547"/>
      </w:tblGrid>
      <w:tr>
        <w:tc>
          <w:tcPr>
            <w:tcW w:type="dxa" w:w="4200"/>
            <w:shd w:fill="2E4057" w:val="clear"/>
            <w:tcMar>
              <w:top w:type="dxa" w:w="100"/>
              <w:left w:type="dxa" w:w="120"/>
              <w:bottom w:type="dxa" w:w="100"/>
              <w:right w:type="dxa" w:w="120"/>
            </w:tcMar>
          </w:tcPr>
          <w:p>
            <w:r>
              <w:rPr>
                <w:b/>
                <w:bCs/>
                <w:color w:val="FFFFFF"/>
                <w:sz w:val="20"/>
                <w:szCs w:val="20"/>
              </w:rPr>
              <w:t xml:space="preserve">Tipo de código</w:t>
            </w:r>
          </w:p>
        </w:tc>
        <w:tc>
          <w:tcPr>
            <w:tcW w:type="dxa" w:w="5547"/>
            <w:shd w:fill="2E4057" w:val="clear"/>
            <w:tcMar>
              <w:top w:type="dxa" w:w="100"/>
              <w:left w:type="dxa" w:w="120"/>
              <w:bottom w:type="dxa" w:w="100"/>
              <w:right w:type="dxa" w:w="120"/>
            </w:tcMar>
          </w:tcPr>
          <w:p>
            <w:r>
              <w:rPr>
                <w:b/>
                <w:bCs/>
                <w:color w:val="FFFFFF"/>
                <w:sz w:val="20"/>
                <w:szCs w:val="20"/>
              </w:rPr>
              <w:t xml:space="preserve">O que pedir</w:t>
            </w:r>
          </w:p>
        </w:tc>
      </w:tr>
      <w:tr>
        <w:tc>
          <w:tcPr>
            <w:tcW w:type="dxa" w:w="4200"/>
            <w:tcMar>
              <w:top w:type="dxa" w:w="100"/>
              <w:left w:type="dxa" w:w="120"/>
              <w:bottom w:type="dxa" w:w="100"/>
              <w:right w:type="dxa" w:w="120"/>
            </w:tcMar>
          </w:tcPr>
          <w:p>
            <w:r>
              <w:rPr>
                <w:b w:val="false"/>
                <w:bCs w:val="false"/>
                <w:sz w:val="18"/>
                <w:szCs w:val="18"/>
              </w:rPr>
              <w:t xml:space="preserve">Função determinística (parsing, transformação, validação)</w:t>
            </w:r>
          </w:p>
        </w:tc>
        <w:tc>
          <w:tcPr>
            <w:tcW w:type="dxa" w:w="5547"/>
            <w:tcMar>
              <w:top w:type="dxa" w:w="100"/>
              <w:left w:type="dxa" w:w="120"/>
              <w:bottom w:type="dxa" w:w="100"/>
              <w:right w:type="dxa" w:w="120"/>
            </w:tcMar>
          </w:tcPr>
          <w:p>
            <w:r>
              <w:rPr>
                <w:b w:val="false"/>
                <w:bCs w:val="false"/>
                <w:sz w:val="20"/>
                <w:szCs w:val="20"/>
              </w:rPr>
              <w:t xml:space="preserve">Teste unitário clássico</w:t>
            </w:r>
          </w:p>
        </w:tc>
      </w:tr>
      <w:tr>
        <w:tc>
          <w:tcPr>
            <w:tcW w:type="dxa" w:w="4200"/>
            <w:tcMar>
              <w:top w:type="dxa" w:w="100"/>
              <w:left w:type="dxa" w:w="120"/>
              <w:bottom w:type="dxa" w:w="100"/>
              <w:right w:type="dxa" w:w="120"/>
            </w:tcMar>
          </w:tcPr>
          <w:p>
            <w:r>
              <w:rPr>
                <w:b w:val="false"/>
                <w:bCs w:val="false"/>
                <w:sz w:val="20"/>
                <w:szCs w:val="20"/>
              </w:rPr>
              <w:t xml:space="preserve">Pipeline / treinamento de modelo</w:t>
            </w:r>
          </w:p>
        </w:tc>
        <w:tc>
          <w:tcPr>
            <w:tcW w:type="dxa" w:w="5547"/>
            <w:tcMar>
              <w:top w:type="dxa" w:w="100"/>
              <w:left w:type="dxa" w:w="120"/>
              <w:bottom w:type="dxa" w:w="100"/>
              <w:right w:type="dxa" w:w="120"/>
            </w:tcMar>
          </w:tcPr>
          <w:p>
            <w:r>
              <w:rPr>
                <w:b w:val="false"/>
                <w:bCs w:val="false"/>
                <w:sz w:val="18"/>
                <w:szCs w:val="18"/>
              </w:rPr>
              <w:t xml:space="preserve">Teste de sanidade: roda sem erro, formato de saída correto, sem valores ausentes inesperados, métrica acima de um baseline trivial</w:t>
            </w:r>
          </w:p>
        </w:tc>
      </w:tr>
      <w:tr>
        <w:tc>
          <w:tcPr>
            <w:tcW w:type="dxa" w:w="4200"/>
            <w:tcMar>
              <w:top w:type="dxa" w:w="100"/>
              <w:left w:type="dxa" w:w="120"/>
              <w:bottom w:type="dxa" w:w="100"/>
              <w:right w:type="dxa" w:w="120"/>
            </w:tcMar>
          </w:tcPr>
          <w:p>
            <w:r>
              <w:rPr>
                <w:b w:val="false"/>
                <w:bCs w:val="false"/>
                <w:sz w:val="20"/>
                <w:szCs w:val="20"/>
              </w:rPr>
              <w:t xml:space="preserve">Exploração / análise pontual</w:t>
            </w:r>
          </w:p>
        </w:tc>
        <w:tc>
          <w:tcPr>
            <w:tcW w:type="dxa" w:w="5547"/>
            <w:tcMar>
              <w:top w:type="dxa" w:w="100"/>
              <w:left w:type="dxa" w:w="120"/>
              <w:bottom w:type="dxa" w:w="100"/>
              <w:right w:type="dxa" w:w="120"/>
            </w:tcMar>
          </w:tcPr>
          <w:p>
            <w:r>
              <w:rPr>
                <w:b w:val="false"/>
                <w:bCs w:val="false"/>
                <w:sz w:val="20"/>
                <w:szCs w:val="20"/>
              </w:rPr>
              <w:t xml:space="preserve">Nenhum teste — não deve virar commit de produto</w:t>
            </w:r>
          </w:p>
        </w:tc>
      </w:tr>
    </w:tbl>
    <w:p>
      <w:pPr>
        <w:spacing w:after="200"/>
      </w:pPr>
    </w:p>
    <w:p>
      <w:pPr>
        <w:spacing w:after="160"/>
      </w:pPr>
      <w:r>
        <w:t xml:space="preserve">Forçar teste unitário clássico em pipeline estocástico ou em código exploratório tende a produzir testes vazios (que verificam apenas que algo “não é nulo”, sem checar comportamento real) — o que é pior do que não ter teste, porque passa a falsa sensação de cobertura.</w:t>
      </w:r>
    </w:p>
    <w:p>
      <w:pPr>
        <w:pBdr>
          <w:left w:val="single" w:color="E6A23C" w:sz="24"/>
        </w:pBdr>
        <w:shd w:fill="FFF4E5" w:val="clear"/>
        <w:spacing w:after="200" w:before="120"/>
        <w:ind w:left="100"/>
      </w:pPr>
      <w:r>
        <w:rPr>
          <w:b/>
          <w:bCs/>
        </w:rPr>
        <w:t xml:space="preserve">Risco central: </w:t>
      </w:r>
      <w:r>
        <w:t xml:space="preserve">Se a mesma IA gera código e teste na mesma resposta, e houve um mal-entendido do requisito, o teste tende a nascer do mesmo mal-entendido — passa, mas não verifica nada independente. A definição do que o teste deve checar precisa ter origem separada da implementação: o aluno descreve o comportamento esperado (“essa função deve rejeitar CPF inválido”, “esse pipeline não pode aceitar mais de X% de dados faltantes”) antes ou independentemente de pedir o código do teste. A IA pode escrever o teste a partir dessa expectativa — mas a expectativa em si não pode vir da mesma tentativa de acertar o código.</w:t>
      </w:r>
    </w:p>
    <w:p>
      <w:pPr>
        <w:spacing w:after="160"/>
      </w:pPr>
      <w:r>
        <w:t xml:space="preserve">Extensão do gate de compreensão: não avançar para o próximo grão sem conseguir explicar não apenas o que o código faz, mas o que o teste verifica e por quê — não apenas se ele passou. Um teste que passa e cuja garantia ninguém sabe explicar é tão arriscado quanto código não compreendido.</w:t>
      </w:r>
    </w:p>
    <w:p>
      <w:pPr>
        <w:pStyle w:val="Heading2"/>
        <w:spacing w:after="150" w:before="300"/>
      </w:pPr>
      <w:r>
        <w:t xml:space="preserve">4.10 Passo a passo por issue: juntando tudo</w:t>
      </w:r>
    </w:p>
    <w:p>
      <w:pPr>
        <w:spacing w:after="160"/>
      </w:pPr>
      <w:r>
        <w:t xml:space="preserve">Uma síntese prática de como as seções 4.5 a 4.9 se encaixam numa sessão real de Claude Code, issue por issue:</w:t>
      </w:r>
    </w:p>
    <w:p>
      <w:pPr>
        <w:spacing w:after="140"/>
      </w:pPr>
      <w:r>
        <w:rPr>
          <w:b/>
          <w:bCs/>
          <w:color w:val="1E3548"/>
        </w:rPr>
        <w:t xml:space="preserve">1. Configuração inicial: CLAUDE.md e issues — </w:t>
      </w:r>
      <w:r>
        <w:t xml:space="preserve">rode /init para gerar um CLAUDE.md a partir do projeto, e peça ao Claude Code para criar as issues iniciais com base nos objetivos específicos do projeto. Ele mesmo cria o arquivo e roda gh issue create para cada issue — automatizado, sem você copiar nada.</w:t>
      </w:r>
    </w:p>
    <w:p>
      <w:pPr>
        <w:spacing w:after="140"/>
      </w:pPr>
      <w:r>
        <w:rPr>
          <w:b/>
          <w:bCs/>
          <w:color w:val="1E3548"/>
        </w:rPr>
        <w:t xml:space="preserve">2. Antes de abrir a sessão — </w:t>
      </w:r>
      <w:r>
        <w:t xml:space="preserve">escreva mentalmente a mensagem do commit esperado. Se ela precisar de um “e”, divida em duas sessões (Seção 4.6).</w:t>
      </w:r>
    </w:p>
    <w:p>
      <w:pPr>
        <w:spacing w:after="140"/>
      </w:pPr>
      <w:r>
        <w:rPr>
          <w:b/>
          <w:bCs/>
          <w:color w:val="1E3548"/>
        </w:rPr>
        <w:t xml:space="preserve">3. Abra uma sessão nova — </w:t>
      </w:r>
      <w:r>
        <w:t xml:space="preserve">peça apenas “Trabalhe na issue #N”. O CLAUDE.md orienta o Claude Code a ler a issue, o STATUS.md e o DECISIONS.md antes de começar — não é preciso colar contexto manualmente.</w:t>
      </w:r>
    </w:p>
    <w:p>
      <w:pPr>
        <w:spacing w:after="140"/>
      </w:pPr>
      <w:r>
        <w:rPr>
          <w:b/>
          <w:bCs/>
          <w:color w:val="1E3548"/>
        </w:rPr>
        <w:t xml:space="preserve">4. Defina o teste antes do código — </w:t>
      </w:r>
      <w:r>
        <w:t xml:space="preserve">se houver teste, diga primeiro o que deve ser verificado, antes de pedir a implementação. Por exemplo: “alunos sem entrada no arquivo recebem id_pessoa = id_discente”. É o que a Seção 4.9 exige: a expectativa do teste não pode nascer da mesma tentativa que gera o código.</w:t>
      </w:r>
    </w:p>
    <w:p>
      <w:pPr>
        <w:spacing w:after="140"/>
      </w:pPr>
      <w:r>
        <w:rPr>
          <w:b/>
          <w:bCs/>
          <w:color w:val="1E3548"/>
        </w:rPr>
        <w:t xml:space="preserve">5. Aplique o gate de compreensão — </w:t>
      </w:r>
      <w:r>
        <w:t xml:space="preserve">revise o código e confirme que consegue explicá-lo sem consultar a conversa (Seção 4.8). Se não conseguir, peça ao Claude Code que explique ou simplifique antes de continuar.</w:t>
      </w:r>
    </w:p>
    <w:p>
      <w:pPr>
        <w:spacing w:after="140"/>
      </w:pPr>
      <w:r>
        <w:rPr>
          <w:b/>
          <w:bCs/>
          <w:color w:val="1E3548"/>
        </w:rPr>
        <w:t xml:space="preserve">6. Commit e PR — </w:t>
      </w:r>
      <w:r>
        <w:t xml:space="preserve">o Claude Code faz o commit — já incluindo a atualização do STATUS.md (se surgiu armadilha nova) e do DECISIONS.md (se houve decisão relevante) — com “Closes #N” na mensagem, e abre o pull request.</w:t>
      </w:r>
    </w:p>
    <w:p>
      <w:pPr>
        <w:spacing w:after="140"/>
      </w:pPr>
      <w:r>
        <w:rPr>
          <w:b/>
          <w:bCs/>
          <w:color w:val="1E3548"/>
        </w:rPr>
        <w:t xml:space="preserve">7. Merge — </w:t>
      </w:r>
      <w:r>
        <w:t xml:space="preserve">o checkpoint só se completa aqui. É no merge — não na abertura do PR — que a issue fecha automaticamente e que o CI, se configurado, valida o código. Segure o merge se o CI falhar ou se restar alguma dúvida do passo 5.</w:t>
      </w:r>
    </w:p>
    <w:p>
      <w:pPr>
        <w:spacing w:after="140"/>
      </w:pPr>
      <w:r>
        <w:rPr>
          <w:b/>
          <w:bCs/>
          <w:color w:val="1E3548"/>
        </w:rPr>
        <w:t xml:space="preserve">8. Encerre a sessão — </w:t>
      </w:r>
      <w:r>
        <w:t xml:space="preserve">a próxima issue começa numa sessão nova, não na continuação desta.</w:t>
      </w:r>
    </w:p>
    <w:p>
      <w:pPr>
        <w:spacing w:after="160"/>
      </w:pPr>
      <w:r>
        <w:t xml:space="preserve">A versão deste mesmo ciclo sem Claude Code — mesmos passos, executados manualmente — está na Seção 4.11.</w:t>
      </w:r>
    </w:p>
    <w:p>
      <w:pPr>
        <w:pBdr>
          <w:left w:val="single" w:color="E6A23C" w:sz="24"/>
        </w:pBdr>
        <w:shd w:fill="FFF4E5" w:val="clear"/>
        <w:spacing w:after="200" w:before="120"/>
        <w:ind w:left="100"/>
      </w:pPr>
      <w:r>
        <w:rPr>
          <w:b/>
          <w:bCs/>
        </w:rPr>
        <w:t xml:space="preserve">O que é CI: </w:t>
      </w:r>
      <w:r>
        <w:t xml:space="preserve">Integração Contínua (Continuous Integration): os testes do projeto (Seção 4.9) rodando automaticamente a cada PR, antes do merge — em vez de depender de alguém lembrar de rodar manualmente. Compensa mais quando já há testes suficientes acumulados e mais de uma pessoa contribuindo; para projeto individual em fase inicial, não é prioridade.</w:t>
      </w:r>
    </w:p>
    <w:p>
      <w:pPr>
        <w:pStyle w:val="Heading2"/>
        <w:spacing w:after="150" w:before="300"/>
      </w:pPr>
      <w:r>
        <w:t xml:space="preserve">4.11 Adaptação para claude.ai gratuito (sem Claude Code)</w:t>
      </w:r>
    </w:p>
    <w:p>
      <w:pPr>
        <w:spacing w:after="160"/>
      </w:pPr>
      <w:r>
        <w:t xml:space="preserve">O plano gratuito não inclui Claude Code — não há leitura automática de CLAUDE.md, nem edição direta de arquivos, nem commit/PR feitos pela IA. O passo a passo da Seção 4.10 vira, na prática, uma aplicação manual da Opção A (Seção 3.1), issue por issue:</w:t>
      </w:r>
    </w:p>
    <w:p>
      <w:pPr>
        <w:spacing w:after="140"/>
      </w:pPr>
      <w:r>
        <w:rPr>
          <w:b/>
          <w:bCs/>
          <w:color w:val="1E3548"/>
        </w:rPr>
        <w:t xml:space="preserve">1. Configuração inicial: CLAUDE.md e issues — </w:t>
      </w:r>
      <w:r>
        <w:t xml:space="preserve">aqui a distinção não é gratuito vs. pago, é chat vs. ferramenta com acesso a disco: peça ao Claude para redigir o texto do CLAUDE.md e os títulos/descrições das issues iniciais a partir dos objetivos do projeto — mas a aplicação é manual. Você cria o arquivo CLAUDE.md você mesmo e abre cada issue no GitHub colando o texto sugerido.</w:t>
      </w:r>
    </w:p>
    <w:p>
      <w:pPr>
        <w:spacing w:after="140"/>
      </w:pPr>
      <w:r>
        <w:rPr>
          <w:b/>
          <w:bCs/>
          <w:color w:val="1E3548"/>
        </w:rPr>
        <w:t xml:space="preserve">2. Antes de abrir o chat — </w:t>
      </w:r>
      <w:r>
        <w:t xml:space="preserve">a regra do “sem 'e'” (Seção 4.6) importa ainda mais aqui: o plano gratuito tem limite de mensagens por janela de tempo, então grãos pequenos evitam desperdiçar mensagens numa sessão que precisaria ser refeita.</w:t>
      </w:r>
    </w:p>
    <w:p>
      <w:pPr>
        <w:spacing w:after="140"/>
      </w:pPr>
      <w:r>
        <w:rPr>
          <w:b/>
          <w:bCs/>
          <w:color w:val="1E3548"/>
        </w:rPr>
        <w:t xml:space="preserve">3. Copie a issue e o contexto — </w:t>
      </w:r>
      <w:r>
        <w:t xml:space="preserve">abra a issue #N no GitHub, copie título e descrição, e cole no início do chat junto com o conteúdo atual do STATUS.md (e do DECISIONS.md, se for relevante para a tarefa). Nada disso é carregado automaticamente.</w:t>
      </w:r>
    </w:p>
    <w:p>
      <w:pPr>
        <w:spacing w:after="140"/>
      </w:pPr>
      <w:r>
        <w:rPr>
          <w:b/>
          <w:bCs/>
          <w:color w:val="1E3548"/>
        </w:rPr>
        <w:t xml:space="preserve">4. Defina o teste antes do código — </w:t>
      </w:r>
      <w:r>
        <w:t xml:space="preserve">mesma prática da Seção 4.9 — descreva o comportamento esperado antes de pedir a implementação, não junto.</w:t>
      </w:r>
    </w:p>
    <w:p>
      <w:pPr>
        <w:spacing w:after="140"/>
      </w:pPr>
      <w:r>
        <w:rPr>
          <w:b/>
          <w:bCs/>
          <w:color w:val="1E3548"/>
        </w:rPr>
        <w:t xml:space="preserve">5. Peça o código — </w:t>
      </w:r>
      <w:r>
        <w:t xml:space="preserve">o Claude gera código e teste como texto na resposta — não edita nenhum arquivo diretamente, porque esta modalidade não tem acesso ao seu disco nem ao repositório.</w:t>
      </w:r>
    </w:p>
    <w:p>
      <w:pPr>
        <w:spacing w:after="140"/>
      </w:pPr>
      <w:r>
        <w:rPr>
          <w:b/>
          <w:bCs/>
          <w:color w:val="1E3548"/>
        </w:rPr>
        <w:t xml:space="preserve">6. Aplique o gate de compreensão — </w:t>
      </w:r>
      <w:r>
        <w:t xml:space="preserve">antes de copiar qualquer coisa para o seu editor, confirme que consegue explicar o código sem consultar a conversa (Seção 4.8).</w:t>
      </w:r>
    </w:p>
    <w:p>
      <w:pPr>
        <w:spacing w:after="140"/>
      </w:pPr>
      <w:r>
        <w:rPr>
          <w:b/>
          <w:bCs/>
          <w:color w:val="1E3548"/>
        </w:rPr>
        <w:t xml:space="preserve">7. Cole, rode e commite você mesmo — </w:t>
      </w:r>
      <w:r>
        <w:t xml:space="preserve">leve o código para o VS Code, rode os testes localmente, e faça commit/push/PR você mesmo — incluindo “Closes #N” na mensagem. O merge continua sendo seu, como na Seção 4.10.</w:t>
      </w:r>
    </w:p>
    <w:p>
      <w:pPr>
        <w:spacing w:after="140"/>
      </w:pPr>
      <w:r>
        <w:rPr>
          <w:b/>
          <w:bCs/>
          <w:color w:val="1E3548"/>
        </w:rPr>
        <w:t xml:space="preserve">8. Atualize STATUS.md/DECISIONS.md manualmente — </w:t>
      </w:r>
      <w:r>
        <w:t xml:space="preserve">mesmo princípio do passo 1: o Claude pode redigir o texto atualizado se você pedir, mas editar o arquivo de fato é seu — sem essa automação, é fácil esquecer, então vale checar isso como parte do checkpoint.</w:t>
      </w:r>
    </w:p>
    <w:p>
      <w:pPr>
        <w:spacing w:after="140"/>
      </w:pPr>
      <w:r>
        <w:rPr>
          <w:b/>
          <w:bCs/>
          <w:color w:val="1E3548"/>
        </w:rPr>
        <w:t xml:space="preserve">9. Encerre o chat — </w:t>
      </w:r>
      <w:r>
        <w:t xml:space="preserve">a próxima issue começa numa conversa nova, igual na Seção 4.10.</w:t>
      </w:r>
    </w:p>
    <w:p>
      <w:pPr>
        <w:pBdr>
          <w:left w:val="single" w:color="E6A23C" w:sz="24"/>
        </w:pBdr>
        <w:shd w:fill="FFF4E5" w:val="clear"/>
        <w:spacing w:after="200" w:before="120"/>
        <w:ind w:left="100"/>
      </w:pPr>
      <w:r>
        <w:rPr>
          <w:b/>
          <w:bCs/>
        </w:rPr>
        <w:t xml:space="preserve">Diferença central: </w:t>
      </w:r>
      <w:r>
        <w:t xml:space="preserve">A Seção 4.10 descreve o que a ferramenta faz por você; esta seção descreve o que sobra para você fazer manualmente sem ela. O ciclo (git, decisões, checkpoint, gate de compreensão) é o mesmo — muda só quem executa cada parte.</w:t>
      </w:r>
    </w:p>
    <w:p>
      <w:pPr>
        <w:spacing w:after="160"/>
      </w:pPr>
      <w:r>
        <w:t xml:space="preserve">Três formas de dar visibilidade do código atual ao Claude no plano gratuito, sem Claude Code — nenhuma delas é acesso ao vivo ao repositório, só reduzem o trabalho manual do passo 2:</w:t>
      </w:r>
    </w:p>
    <w:p>
      <w:pPr>
        <w:pStyle w:val="ListParagraph"/>
        <w:numPr>
          <w:ilvl w:val="0"/>
          <w:numId w:val="2"/>
        </w:numPr>
        <w:spacing w:after="80"/>
      </w:pPr>
      <w:r>
        <w:t xml:space="preserve">Upload de arquivo — anexar o(s) arquivo(s) relevantes diretamente na mensagem. Funciona mesmo com repositório privado, mas exige saber de antemão quais arquivos importam para a tarefa.</w:t>
      </w:r>
    </w:p>
    <w:p>
      <w:pPr>
        <w:pStyle w:val="ListParagraph"/>
        <w:numPr>
          <w:ilvl w:val="0"/>
          <w:numId w:val="2"/>
        </w:numPr>
        <w:spacing w:after="80"/>
      </w:pPr>
      <w:r>
        <w:t xml:space="preserve">Link de repositório público — colar o link de um arquivo do GitHub para o Claude buscar o conteúdo. Só funciona se o repositório for público — inadequado quando há dados sensíveis envolvidos (Seção 6).</w:t>
      </w:r>
    </w:p>
    <w:p>
      <w:pPr>
        <w:pStyle w:val="ListParagraph"/>
        <w:numPr>
          <w:ilvl w:val="0"/>
          <w:numId w:val="2"/>
        </w:numPr>
        <w:spacing w:after="80"/>
      </w:pPr>
      <w:r>
        <w:t xml:space="preserve">Arquivos-chave no Project — reenviar as versões atualizadas de STATUS.md, DECISIONS.md e dos arquivos de código mais centrais a cada checkpoint, como extensão do que a Seção 4.5 já propõe. Mantenha poucos arquivos e pequenos: um Project sobrecarregado de arquivos pode passar a usar busca por trechos em vez de carregar tudo, tornando o contexto menos confiável, não mais.</w:t>
      </w:r>
    </w:p>
    <w:p>
      <w:pPr>
        <w:pStyle w:val="Heading1"/>
        <w:spacing w:after="200" w:before="400"/>
      </w:pPr>
      <w:r>
        <w:t xml:space="preserve">5. Sinais de alerta durante o uso</w:t>
      </w:r>
    </w:p>
    <w:p>
      <w:pPr>
        <w:spacing w:after="160"/>
      </w:pPr>
      <w:r>
        <w:t xml:space="preserve">Como o modelo não sinaliza quando está perdendo contexto ou degradando em precisão, cabe a quem conduz a sessão observar sinais indiretos:</w:t>
      </w:r>
    </w:p>
    <w:p>
      <w:pPr>
        <w:pStyle w:val="ListParagraph"/>
        <w:numPr>
          <w:ilvl w:val="0"/>
          <w:numId w:val="2"/>
        </w:numPr>
        <w:spacing w:after="80"/>
      </w:pPr>
      <w:r>
        <w:t xml:space="preserve">O modelo contradiz uma decisão já tomada e registrada</w:t>
      </w:r>
    </w:p>
    <w:p>
      <w:pPr>
        <w:pStyle w:val="ListParagraph"/>
        <w:numPr>
          <w:ilvl w:val="0"/>
          <w:numId w:val="2"/>
        </w:numPr>
        <w:spacing w:after="80"/>
      </w:pPr>
      <w:r>
        <w:t xml:space="preserve">O modelo “esquece” um detalhe específico definido anteriormente na mesma sessão</w:t>
      </w:r>
    </w:p>
    <w:p>
      <w:pPr>
        <w:pStyle w:val="ListParagraph"/>
        <w:numPr>
          <w:ilvl w:val="0"/>
          <w:numId w:val="2"/>
        </w:numPr>
        <w:spacing w:after="80"/>
      </w:pPr>
      <w:r>
        <w:t xml:space="preserve">As respostas ficam mais genéricas, menos ancoradas em detalhes concretos do projeto</w:t>
      </w:r>
    </w:p>
    <w:p>
      <w:pPr>
        <w:pStyle w:val="ListParagraph"/>
        <w:numPr>
          <w:ilvl w:val="0"/>
          <w:numId w:val="2"/>
        </w:numPr>
        <w:spacing w:after="80"/>
      </w:pPr>
      <w:r>
        <w:t xml:space="preserve">Uma pergunta já respondida antes é reintroduzida como se fosse nova</w:t>
      </w:r>
    </w:p>
    <w:p>
      <w:pPr>
        <w:pBdr>
          <w:left w:val="single" w:color="E6A23C" w:sz="24"/>
        </w:pBdr>
        <w:shd w:fill="FFF4E5" w:val="clear"/>
        <w:spacing w:after="200" w:before="120"/>
        <w:ind w:left="100"/>
      </w:pPr>
      <w:r>
        <w:rPr>
          <w:b/>
          <w:bCs/>
        </w:rPr>
        <w:t xml:space="preserve">Ação recomendada: </w:t>
      </w:r>
      <w:r>
        <w:t xml:space="preserve">Nenhum desses sinais é prova definitiva isoladamente — podem ter outras causas — mas, ao observá-los, o procedimento correto é parar e checar contra o STATUS.md e o DECISIONS.md, não assumir boa-fé na resposta seguinte.</w:t>
      </w:r>
    </w:p>
    <w:p>
      <w:pPr>
        <w:pStyle w:val="Heading1"/>
        <w:spacing w:after="200" w:before="400"/>
      </w:pPr>
      <w:r>
        <w:t xml:space="preserve">6. Quando NÃO aplicar toda a estrutura</w:t>
      </w:r>
    </w:p>
    <w:p>
      <w:pPr>
        <w:spacing w:after="160"/>
      </w:pPr>
      <w:r>
        <w:t xml:space="preserve">Esta metodologia tem custo de manutenção. Para atividades curtas (uma ou duas sessões, escopo pequeno, sem continuidade esperada), aplicar as três camadas integralmente pode ser desproporcional ao benefício. Um princípio útil, adaptado da prática de Spec-Driven Development do GitHub Spec Kit:</w:t>
      </w:r>
    </w:p>
    <w:p>
      <w:pPr>
        <w:pBdr>
          <w:left w:val="single" w:color="E6A23C" w:sz="24"/>
        </w:pBdr>
        <w:shd w:fill="FFF4E5" w:val="clear"/>
        <w:spacing w:after="200" w:before="120"/>
        <w:ind w:left="100"/>
      </w:pPr>
      <w:r>
        <w:rPr>
          <w:b/>
          <w:bCs/>
        </w:rPr>
        <w:t xml:space="preserve">Princípio de seletividade: </w:t>
      </w:r>
      <w:r>
        <w:t xml:space="preserve">Aplique o registro formal de decisões e checkpoints quando houver escopo não trivial, ambiguidade real de design, impacto sobre múltiplas partes do projeto, ou risco de retrabalho caro. Não transforme isso em burocracia para mudanças triviais.</w:t>
      </w:r>
    </w:p>
    <w:p>
      <w:pPr>
        <w:pStyle w:val="Heading1"/>
        <w:spacing w:after="200" w:before="400"/>
      </w:pPr>
      <w:r>
        <w:t xml:space="preserve">7. Checklist resumido</w:t>
      </w:r>
    </w:p>
    <w:p>
      <w:pPr>
        <w:pStyle w:val="ListParagraph"/>
        <w:numPr>
          <w:ilvl w:val="0"/>
          <w:numId w:val="2"/>
        </w:numPr>
        <w:spacing w:after="80"/>
      </w:pPr>
      <w:r>
        <w:t xml:space="preserve">[ ] Repositório git criado e com commits regulares</w:t>
      </w:r>
    </w:p>
    <w:p>
      <w:pPr>
        <w:pStyle w:val="ListParagraph"/>
        <w:numPr>
          <w:ilvl w:val="0"/>
          <w:numId w:val="2"/>
        </w:numPr>
        <w:spacing w:after="80"/>
      </w:pPr>
      <w:r>
        <w:t xml:space="preserve">[ ] Arquivo de contexto do projeto (README.md / CLAUDE.md) criado e atualizado</w:t>
      </w:r>
    </w:p>
    <w:p>
      <w:pPr>
        <w:pStyle w:val="ListParagraph"/>
        <w:numPr>
          <w:ilvl w:val="0"/>
          <w:numId w:val="2"/>
        </w:numPr>
        <w:spacing w:after="80"/>
      </w:pPr>
      <w:r>
        <w:t xml:space="preserve">[ ] DECISIONS.md aberto, com entradas apenas para decisões relevantes</w:t>
      </w:r>
    </w:p>
    <w:p>
      <w:pPr>
        <w:pStyle w:val="ListParagraph"/>
        <w:numPr>
          <w:ilvl w:val="0"/>
          <w:numId w:val="2"/>
        </w:numPr>
        <w:spacing w:after="80"/>
      </w:pPr>
      <w:r>
        <w:t xml:space="preserve">[ ] STATUS.md atualizado a cada marco funcional, não por tempo decorrido</w:t>
      </w:r>
    </w:p>
    <w:p>
      <w:pPr>
        <w:pStyle w:val="ListParagraph"/>
        <w:numPr>
          <w:ilvl w:val="0"/>
          <w:numId w:val="2"/>
        </w:numPr>
        <w:spacing w:after="80"/>
      </w:pPr>
      <w:r>
        <w:t xml:space="preserve">[ ] Nova sessão de IA iniciada com contexto colado ou carregado, nunca do zero</w:t>
      </w:r>
    </w:p>
    <w:p>
      <w:pPr>
        <w:pStyle w:val="ListParagraph"/>
        <w:numPr>
          <w:ilvl w:val="0"/>
          <w:numId w:val="2"/>
        </w:numPr>
        <w:spacing w:after="80"/>
      </w:pPr>
      <w:r>
        <w:t xml:space="preserve">[ ] Antes de abrir um chat, a mensagem de commit esperada foi escrita mentalmente e não contém “e”</w:t>
      </w:r>
    </w:p>
    <w:p>
      <w:pPr>
        <w:pStyle w:val="ListParagraph"/>
        <w:numPr>
          <w:ilvl w:val="0"/>
          <w:numId w:val="2"/>
        </w:numPr>
        <w:spacing w:after="80"/>
      </w:pPr>
      <w:r>
        <w:t xml:space="preserve">[ ] Tarefas rastreadas via GitHub Issues (aberta / em andamento / fechada), tratadas como hipótese revisável</w:t>
      </w:r>
    </w:p>
    <w:p>
      <w:pPr>
        <w:pStyle w:val="ListParagraph"/>
        <w:numPr>
          <w:ilvl w:val="0"/>
          <w:numId w:val="2"/>
        </w:numPr>
        <w:spacing w:after="80"/>
      </w:pPr>
      <w:r>
        <w:t xml:space="preserve">[ ] Commits que resolvem uma issue incluem “Closes #N” para fechamento automático</w:t>
      </w:r>
    </w:p>
    <w:p>
      <w:pPr>
        <w:pStyle w:val="ListParagraph"/>
        <w:numPr>
          <w:ilvl w:val="0"/>
          <w:numId w:val="2"/>
        </w:numPr>
        <w:spacing w:after="80"/>
      </w:pPr>
      <w:r>
        <w:t xml:space="preserve">[ ] STATUS.md mantém só a síntese do que funciona e as armadilhas conhecidas, sem lista de pendências duplicada</w:t>
      </w:r>
    </w:p>
    <w:p>
      <w:pPr>
        <w:pStyle w:val="ListParagraph"/>
        <w:numPr>
          <w:ilvl w:val="0"/>
          <w:numId w:val="2"/>
        </w:numPr>
        <w:spacing w:after="80"/>
      </w:pPr>
      <w:r>
        <w:t xml:space="preserve">[ ] Antes de avançar ao próximo grão, o código gerado foi explicado sem consultar o chat (gate de compreensão)</w:t>
      </w:r>
    </w:p>
    <w:p>
      <w:pPr>
        <w:pStyle w:val="ListParagraph"/>
        <w:numPr>
          <w:ilvl w:val="0"/>
          <w:numId w:val="2"/>
        </w:numPr>
        <w:spacing w:after="80"/>
      </w:pPr>
      <w:r>
        <w:t xml:space="preserve">[ ] Código determinístico ou de pipeline veio acompanhado do teste correspondente (unitário ou de sanidade, conforme o tipo)</w:t>
      </w:r>
    </w:p>
    <w:p>
      <w:pPr>
        <w:pStyle w:val="ListParagraph"/>
        <w:numPr>
          <w:ilvl w:val="0"/>
          <w:numId w:val="2"/>
        </w:numPr>
        <w:spacing w:after="80"/>
      </w:pPr>
      <w:r>
        <w:t xml:space="preserve">[ ] O comportamento esperado do teste foi definido antes do código do teste, não pela mesma tentativa que gerou a implementação</w:t>
      </w:r>
    </w:p>
    <w:p>
      <w:pPr>
        <w:pStyle w:val="ListParagraph"/>
        <w:numPr>
          <w:ilvl w:val="0"/>
          <w:numId w:val="2"/>
        </w:numPr>
        <w:spacing w:after="80"/>
      </w:pPr>
      <w:r>
        <w:t xml:space="preserve">[ ] Sinais de contradição ou generalidade tratados como alerta, não ignorados</w:t>
      </w:r>
    </w:p>
    <w:sectPr>
      <w:headerReference w:type="default" r:id="rId7"/>
      <w:footerReference w:type="default" r:id="rId8"/>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Metodologia de Uso de IA em Projetos de Desenvolvimento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2026-09-25T17:24:46.106Z</dcterms:created>
  <dcterms:modified xsi:type="dcterms:W3CDTF">2026-09-25T17:24:46.114Z</dcterms:modified>
</cp:coreProperties>
</file>

<file path=docProps/custom.xml><?xml version="1.0" encoding="utf-8"?>
<Properties xmlns="http://schemas.openxmlformats.org/officeDocument/2006/custom-properties" xmlns:vt="http://schemas.openxmlformats.org/officeDocument/2006/docPropsVTypes"/>
</file>