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69CB" w:rsidRDefault="004F69CB" w:rsidP="004F69CB">
      <w:pPr>
        <w:spacing w:after="280"/>
        <w:jc w:val="center"/>
        <w:rPr>
          <w:b/>
          <w:color w:val="22C55E"/>
          <w:sz w:val="24"/>
        </w:rPr>
      </w:pPr>
      <w:bookmarkStart w:id="0" w:name="_GoBack"/>
      <w:bookmarkEnd w:id="0"/>
      <w:r w:rsidRPr="004F69CB">
        <w:rPr>
          <w:b/>
          <w:color w:val="22C55E"/>
          <w:sz w:val="24"/>
        </w:rPr>
        <w:t>ROVNOTA SYSTEMS</w:t>
      </w:r>
    </w:p>
    <w:p w:rsidR="004F69CB" w:rsidRDefault="004F69CB" w:rsidP="004F69CB">
      <w:pPr>
        <w:spacing w:after="160"/>
        <w:jc w:val="center"/>
        <w:rPr>
          <w:b/>
          <w:sz w:val="52"/>
        </w:rPr>
      </w:pPr>
      <w:r w:rsidRPr="004F69CB">
        <w:rPr>
          <w:b/>
          <w:sz w:val="52"/>
        </w:rPr>
        <w:t>Требования ЕС к цифровому паспорту батареи</w:t>
      </w:r>
    </w:p>
    <w:p w:rsidR="004F69CB" w:rsidRDefault="004F69CB" w:rsidP="004F69CB">
      <w:pPr>
        <w:spacing w:after="480"/>
        <w:jc w:val="center"/>
        <w:rPr>
          <w:b/>
          <w:color w:val="475569"/>
          <w:sz w:val="28"/>
        </w:rPr>
      </w:pPr>
      <w:r w:rsidRPr="004F69CB">
        <w:rPr>
          <w:b/>
          <w:color w:val="475569"/>
          <w:sz w:val="28"/>
        </w:rPr>
        <w:t>Какие батареи подпадают под Регламент (ЕС) 2023/1542 и какие данные нужны для паспортов EV, LMT и промышленных батарей</w:t>
      </w:r>
    </w:p>
    <w:p w:rsidR="004F69CB" w:rsidRDefault="004F69CB" w:rsidP="004F69CB">
      <w:pPr>
        <w:spacing w:after="600"/>
        <w:jc w:val="center"/>
        <w:rPr>
          <w:b/>
          <w:color w:val="15803D"/>
          <w:sz w:val="24"/>
        </w:rPr>
      </w:pPr>
      <w:r w:rsidRPr="004F69CB">
        <w:rPr>
          <w:b/>
          <w:color w:val="15803D"/>
          <w:sz w:val="24"/>
        </w:rPr>
        <w:t>Исследовательский отчёт и рабочая матрица из 71 поля</w:t>
      </w:r>
    </w:p>
    <w:p w:rsidR="004F69CB" w:rsidRDefault="004F69CB" w:rsidP="004F69CB">
      <w:pPr>
        <w:spacing w:after="80"/>
        <w:jc w:val="center"/>
        <w:rPr>
          <w:color w:val="475569"/>
          <w:sz w:val="20"/>
        </w:rPr>
      </w:pPr>
      <w:r w:rsidRPr="004F69CB">
        <w:rPr>
          <w:color w:val="475569"/>
          <w:sz w:val="20"/>
        </w:rPr>
        <w:t>Редакция: 16 сентября 2026 года</w:t>
      </w:r>
    </w:p>
    <w:p w:rsidR="004F69CB" w:rsidRDefault="004F69CB" w:rsidP="004F69CB">
      <w:pPr>
        <w:spacing w:after="360"/>
        <w:jc w:val="center"/>
        <w:rPr>
          <w:color w:val="475569"/>
        </w:rPr>
      </w:pPr>
      <w:r w:rsidRPr="004F69CB">
        <w:rPr>
          <w:color w:val="475569"/>
        </w:rPr>
        <w:t>Основание: действующая консолидированная редакция Регламента и руководство Европейской комиссии версии 2.0 от 15 августа 2026 года</w:t>
      </w:r>
    </w:p>
    <w:p w:rsidR="004F69CB" w:rsidRDefault="004F69CB" w:rsidP="004F69CB">
      <w:pPr>
        <w:spacing w:after="160"/>
        <w:jc w:val="center"/>
        <w:rPr>
          <w:b/>
        </w:rPr>
      </w:pPr>
      <w:r w:rsidRPr="004F69CB">
        <w:rPr>
          <w:b/>
        </w:rPr>
        <w:t>Важно: документ подготовлен для проектирования сбора и проверки данных. Он не является юридическим заключением и не заменяет проверку применимых делегированных/исполнительных актов перед выпуском конкретной батареи на рынок.</w:t>
      </w:r>
    </w:p>
    <w:p w:rsidR="004F69CB" w:rsidRDefault="004F69CB">
      <w:pPr>
        <w:spacing w:after="160" w:line="259" w:lineRule="auto"/>
        <w:rPr>
          <w:b/>
        </w:rPr>
      </w:pPr>
      <w:r>
        <w:rPr>
          <w:b/>
        </w:rPr>
        <w:br w:type="page"/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1. Краткий вывод</w:t>
      </w:r>
    </w:p>
    <w:p w:rsidR="004F69CB" w:rsidRDefault="004F69CB" w:rsidP="004F69CB">
      <w:pPr>
        <w:spacing w:after="60"/>
      </w:pPr>
      <w:r w:rsidRPr="004F69CB">
        <w:t>• С 18 февраля 2027 года цифровой паспорт обязателен для каждой LMT-батареи, каждой промышленной батареи ёмкостью более 2 кВт·ч и каждой тяговой батареи электрического транспортного средства, вводимых в обращение или эксплуатацию в ЕС.</w:t>
      </w:r>
    </w:p>
    <w:p w:rsidR="004F69CB" w:rsidRDefault="004F69CB" w:rsidP="004F69CB">
      <w:pPr>
        <w:spacing w:after="60"/>
      </w:pPr>
      <w:r w:rsidRPr="004F69CB">
        <w:t>• Термин «автомобильная батарея» необходимо разделять: тяговая EV-батарея подпадает под паспорт; обычная пусковая батарея SLI для запуска, освещения и зажигания — не подпадает под статью 77.</w:t>
      </w:r>
    </w:p>
    <w:p w:rsidR="004F69CB" w:rsidRDefault="004F69CB" w:rsidP="004F69CB">
      <w:pPr>
        <w:spacing w:after="60"/>
      </w:pPr>
      <w:r w:rsidRPr="004F69CB">
        <w:t>• Портативные батареи, включая обычные батареи устройств, не получают цифровой паспорт по статье 77, хотя на них распространяются другие требования Регламента.</w:t>
      </w:r>
    </w:p>
    <w:p w:rsidR="004F69CB" w:rsidRDefault="004F69CB" w:rsidP="004F69CB">
      <w:pPr>
        <w:spacing w:after="60"/>
      </w:pPr>
      <w:r w:rsidRPr="004F69CB">
        <w:t>• Паспорт содержит публичные данные модели, закрытые данные для ремонта/повторного использования/переработки и динамические данные конкретного экземпляра.</w:t>
      </w:r>
    </w:p>
    <w:p w:rsidR="004F69CB" w:rsidRDefault="004F69CB" w:rsidP="004F69CB">
      <w:pPr>
        <w:spacing w:after="60"/>
      </w:pPr>
      <w:r w:rsidRPr="004F69CB">
        <w:t>• Не все 71 поля должны быть заполнены 18 февраля 2027 года: часть условная, часть дублируется, а углеродный след, должная осмотрительность и переработанное содержимое вводятся по отдельным срокам и актам.</w:t>
      </w:r>
    </w:p>
    <w:p w:rsidR="004F69CB" w:rsidRDefault="004F69CB" w:rsidP="004F69CB">
      <w:pPr>
        <w:spacing w:after="60"/>
      </w:pPr>
      <w:r w:rsidRPr="004F69CB">
        <w:t>• Ответственность за точность, полноту и актуальность несёт экономический оператор, размещающий готовую батарею на рынке ЕС. Поставщики компонентов лишь передают необходимые исходные сведения.</w:t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2. Какие категории батарей существуют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4649"/>
        <w:gridCol w:w="3742"/>
        <w:gridCol w:w="1984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6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Категория</w:t>
            </w:r>
          </w:p>
        </w:tc>
        <w:tc>
          <w:tcPr>
            <w:tcW w:w="4649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Юридический критерий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Типичные примеры</w:t>
            </w:r>
          </w:p>
        </w:tc>
        <w:tc>
          <w:tcPr>
            <w:tcW w:w="1984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Паспорт с 18.02.2027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LMT — лёгкие транспортные средства</w:t>
            </w:r>
          </w:p>
        </w:tc>
        <w:tc>
          <w:tcPr>
            <w:tcW w:w="46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Герметичная батарея массой не более 25 кг, специально предназначенная для тяги колёсного транспорта, движимого электромотором или сочетанием мотора и мускульной силы, и не являющаяся EV-батареей.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Электровелосипеды, электросамокаты, e-moped и часть транспортных средств категории L.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Да, независимо от порога 2 кВт·ч.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EV — электрические транспортные средства</w:t>
            </w:r>
          </w:p>
        </w:tc>
        <w:tc>
          <w:tcPr>
            <w:tcW w:w="4649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Тяговая батарея гибридного/электрического транспорта категории L массой более 25 кг либо тяговая батарея гибридных/электрических транспортных средств категорий M, N или O.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Легковые электромобили и гибриды, фургоны, автобусы, грузовые электрические транспортные средства.</w:t>
            </w:r>
          </w:p>
        </w:tc>
        <w:tc>
          <w:tcPr>
            <w:tcW w:w="1984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Да.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Industrial — промышленная</w:t>
            </w:r>
          </w:p>
        </w:tc>
        <w:tc>
          <w:tcPr>
            <w:tcW w:w="4649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Батарея для промышленного применения; батарея после перепрофилирования для промышленного применения; либо иная батарея массой более 5 кг, не относящаяся к EV, LMT или SLI.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Стационарные накопители, домашние системы хранения энергии, UPS, телеком, складская техника, промышленное оборудование.</w:t>
            </w:r>
          </w:p>
        </w:tc>
        <w:tc>
          <w:tcPr>
            <w:tcW w:w="198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Да, только если ёмкость более 2 кВт·ч.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SLI — стартерная/осветительная/зажигания</w:t>
            </w:r>
          </w:p>
        </w:tc>
        <w:tc>
          <w:tcPr>
            <w:tcW w:w="4649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Батарея, специально предназначенная для запуска, освещения или зажигания; может выполнять вспомогательные или резервные функции.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Обычные 12/24 В стартерные батареи автомобилей и техники.</w:t>
            </w:r>
          </w:p>
        </w:tc>
        <w:tc>
          <w:tcPr>
            <w:tcW w:w="1984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Нет по статье 77.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Portable — портативная</w:t>
            </w:r>
          </w:p>
        </w:tc>
        <w:tc>
          <w:tcPr>
            <w:tcW w:w="4649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Герметичная батарея массой не более 5 кг, не предназначенная специально для промышленного применения и не относящаяся к EV, LMT или SLI.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Батареи телефонов, ноутбуков, инструментов, бытовых устройств, AA/AAA и т. п.</w:t>
            </w:r>
          </w:p>
        </w:tc>
        <w:tc>
          <w:tcPr>
            <w:tcW w:w="1984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Нет по статье 77.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Критические границы классификации</w:t>
      </w:r>
    </w:p>
    <w:p w:rsidR="004F69CB" w:rsidRDefault="004F69CB" w:rsidP="004F69CB">
      <w:pPr>
        <w:spacing w:after="60"/>
      </w:pPr>
      <w:r w:rsidRPr="004F69CB">
        <w:t>• Батарея категории L до 25 кг обычно относится к LMT; тяговая батарея категории L более 25 кг — к EV.</w:t>
      </w:r>
    </w:p>
    <w:p w:rsidR="004F69CB" w:rsidRDefault="004F69CB" w:rsidP="004F69CB">
      <w:pPr>
        <w:spacing w:after="60"/>
      </w:pPr>
      <w:r w:rsidRPr="004F69CB">
        <w:t>• Порог 2 кВт·ч относится только к промышленной категории. Для LMT и EV отдельного порога ёмкости для паспорта нет.</w:t>
      </w:r>
    </w:p>
    <w:p w:rsidR="004F69CB" w:rsidRDefault="004F69CB" w:rsidP="004F69CB">
      <w:pPr>
        <w:spacing w:after="60"/>
      </w:pPr>
      <w:r w:rsidRPr="004F69CB">
        <w:t>• Домашняя стационарная система хранения энергии юридически может быть промышленной батареей; если ёмкость более 2 кВт·ч, паспорт требуется.</w:t>
      </w:r>
    </w:p>
    <w:p w:rsidR="004F69CB" w:rsidRDefault="004F69CB" w:rsidP="004F69CB">
      <w:pPr>
        <w:spacing w:after="60"/>
      </w:pPr>
      <w:r w:rsidRPr="004F69CB">
        <w:t>• Если ячейка или модуль продаётся для конечного использования без дальнейшей сборки в больший блок, он рассматривается как батарея; применяется наиболее близкая категория, а при пересечении — более строгая.</w:t>
      </w:r>
    </w:p>
    <w:p w:rsidR="004F69CB" w:rsidRDefault="004F69CB" w:rsidP="004F69CB">
      <w:pPr>
        <w:spacing w:after="60"/>
      </w:pPr>
      <w:r w:rsidRPr="004F69CB">
        <w:t>• Главы III и IX не применяются к оборудованию, специально разработанному для безопасности ядерных установок. Военная техника и оборудование для космоса исключены из общей сферы Регламента по статье 1.</w:t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3. Быстрая схема определения паспорта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80"/>
        <w:gridCol w:w="8220"/>
        <w:gridCol w:w="3855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80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Шаг</w:t>
            </w:r>
          </w:p>
        </w:tc>
        <w:tc>
          <w:tcPr>
            <w:tcW w:w="8220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Вопрос</w:t>
            </w:r>
          </w:p>
        </w:tc>
        <w:tc>
          <w:tcPr>
            <w:tcW w:w="385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Результат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</w:t>
            </w:r>
          </w:p>
        </w:tc>
        <w:tc>
          <w:tcPr>
            <w:tcW w:w="82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Батарея специально предназначена для тяги гибридного/электрического ТС M, N, O либо категории L и весит более 25 кг?</w:t>
            </w:r>
          </w:p>
        </w:tc>
        <w:tc>
          <w:tcPr>
            <w:tcW w:w="38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Да → EV-паспорт.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2</w:t>
            </w:r>
          </w:p>
        </w:tc>
        <w:tc>
          <w:tcPr>
            <w:tcW w:w="8220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Батарея герметичная, до 25 кг и предназначена для тяги лёгкого колёсного электротранспорта?</w:t>
            </w:r>
          </w:p>
        </w:tc>
        <w:tc>
          <w:tcPr>
            <w:tcW w:w="385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Да → LMT-паспорт.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3</w:t>
            </w:r>
          </w:p>
        </w:tc>
        <w:tc>
          <w:tcPr>
            <w:tcW w:w="82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Батарея промышленная по назначению или весит более 5 кг, не являясь EV/LMT/SLI?</w:t>
            </w:r>
          </w:p>
        </w:tc>
        <w:tc>
          <w:tcPr>
            <w:tcW w:w="38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Да → проверить ёмкость.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4</w:t>
            </w:r>
          </w:p>
        </w:tc>
        <w:tc>
          <w:tcPr>
            <w:tcW w:w="8220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Промышленная батарея имеет ёмкость более 2 кВт·ч?</w:t>
            </w:r>
          </w:p>
        </w:tc>
        <w:tc>
          <w:tcPr>
            <w:tcW w:w="385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Да → Industrial-паспорт; нет → паспорта по ст. 77 нет.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68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5</w:t>
            </w:r>
          </w:p>
        </w:tc>
        <w:tc>
          <w:tcPr>
            <w:tcW w:w="822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Батарея предназначена прежде всего для запуска, освещения или зажигания?</w:t>
            </w:r>
          </w:p>
        </w:tc>
        <w:tc>
          <w:tcPr>
            <w:tcW w:w="385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Да → SLI; цифрового паспорта по ст. 77 нет.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680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6</w:t>
            </w:r>
          </w:p>
        </w:tc>
        <w:tc>
          <w:tcPr>
            <w:tcW w:w="8220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Батарея портативная и не попала в предыдущие категории?</w:t>
            </w:r>
          </w:p>
        </w:tc>
        <w:tc>
          <w:tcPr>
            <w:tcW w:w="385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Цифрового паспорта по ст. 77 нет.</w:t>
            </w:r>
          </w:p>
        </w:tc>
      </w:tr>
    </w:tbl>
    <w:p w:rsidR="004F69CB" w:rsidRDefault="004F69CB" w:rsidP="004F69CB"/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4. Легенда статусов полей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8"/>
        <w:gridCol w:w="10205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Статус</w:t>
            </w:r>
          </w:p>
        </w:tc>
        <w:tc>
          <w:tcPr>
            <w:tcW w:w="1020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Как трактовать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ОБЯЗАТЕЛЬНО</w:t>
            </w:r>
          </w:p>
        </w:tc>
        <w:tc>
          <w:tcPr>
            <w:tcW w:w="102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Поле должно быть предусмотрено и заполнено для соответствующей категории на запуске паспорта, если в примечании не указано объективное условие.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НЕОБЯЗАТЕЛЬНО</w:t>
            </w:r>
          </w:p>
        </w:tc>
        <w:tc>
          <w:tcPr>
            <w:tcW w:w="1020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Заполняется при наличии данных; отсутствие допустимо по руководству Комиссии.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УСЛОВНО</w:t>
            </w:r>
          </w:p>
        </w:tc>
        <w:tc>
          <w:tcPr>
            <w:tcW w:w="1020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Заполняется только при наступлении условия: наличие вещества, коммерческой гарантии, применимость технического параметра, наличие данных эксплуатации и т. п.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БУДУЩЕЕ</w:t>
            </w:r>
          </w:p>
        </w:tc>
        <w:tc>
          <w:tcPr>
            <w:tcW w:w="1020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Не требуется в паспорте на 18.02.2027, но должно быть заложено в модель данных и включено после наступления срока/принятия актов.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НЕ ЗАПОЛНЯТЬ</w:t>
            </w:r>
          </w:p>
        </w:tc>
        <w:tc>
          <w:tcPr>
            <w:tcW w:w="1020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Поле дублирует другое, не относится к категории или прямо не должно отображаться на запуске.</w:t>
            </w:r>
          </w:p>
        </w:tc>
      </w:tr>
    </w:tbl>
    <w:p w:rsidR="004F69CB" w:rsidRDefault="004F69CB" w:rsidP="004F69CB"/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5. Основные даты и отложенные требования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4082"/>
        <w:gridCol w:w="5726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3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Дата/формула</w:t>
            </w:r>
          </w:p>
        </w:tc>
        <w:tc>
          <w:tcPr>
            <w:tcW w:w="408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Требование</w:t>
            </w:r>
          </w:p>
        </w:tc>
        <w:tc>
          <w:tcPr>
            <w:tcW w:w="5726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Кому и на каком основании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18.08.2024</w:t>
            </w:r>
          </w:p>
        </w:tc>
        <w:tc>
          <w:tcPr>
            <w:tcW w:w="40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Документ с параметрами производительности и долговечности</w:t>
            </w:r>
          </w:p>
        </w:tc>
        <w:tc>
          <w:tcPr>
            <w:tcW w:w="57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Перезаряжаемые промышленные &gt;2 кВт·ч, LMT и EV; ст. 10(1).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18.08.2024</w:t>
            </w:r>
          </w:p>
        </w:tc>
        <w:tc>
          <w:tcPr>
            <w:tcW w:w="408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Актуальные параметры состояния здоровья в BMS</w:t>
            </w:r>
          </w:p>
        </w:tc>
        <w:tc>
          <w:tcPr>
            <w:tcW w:w="5726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Стационарные системы хранения, LMT и EV; ст. 14.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18.08.2025</w:t>
            </w:r>
          </w:p>
        </w:tc>
        <w:tc>
          <w:tcPr>
            <w:tcW w:w="40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Символ раздельного сбора</w:t>
            </w:r>
          </w:p>
        </w:tc>
        <w:tc>
          <w:tcPr>
            <w:tcW w:w="57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Все батареи; ст. 13(4).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18.02.2027</w:t>
            </w:r>
          </w:p>
        </w:tc>
        <w:tc>
          <w:tcPr>
            <w:tcW w:w="408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Цифровой паспорт и QR-доступ к нему</w:t>
            </w:r>
          </w:p>
        </w:tc>
        <w:tc>
          <w:tcPr>
            <w:tcW w:w="5726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EV, LMT, промышленные &gt;2 кВт·ч; ст. 77.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18.08.2027</w:t>
            </w:r>
          </w:p>
        </w:tc>
        <w:tc>
          <w:tcPr>
            <w:tcW w:w="40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Политика должной осмотрительности</w:t>
            </w:r>
          </w:p>
        </w:tc>
        <w:tc>
          <w:tcPr>
            <w:tcW w:w="57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Операторы в сфере главы VII; исключение для оборота ниже 40 млн евро при выполнении условий ст. 47.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Не ранее 18.08.2028 и позже, если акт вступит позднее</w:t>
            </w:r>
          </w:p>
        </w:tc>
        <w:tc>
          <w:tcPr>
            <w:tcW w:w="408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Документ о доле переработанных Co/Li/Ni/Pb</w:t>
            </w:r>
          </w:p>
        </w:tc>
        <w:tc>
          <w:tcPr>
            <w:tcW w:w="5726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EV и промышленные &gt;2 кВт·ч, кроме исключительно внешнего хранения; ст. 8(1).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18.08.2033</w:t>
            </w:r>
          </w:p>
        </w:tc>
        <w:tc>
          <w:tcPr>
            <w:tcW w:w="408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Документ о доле переработанных Co/Li/Ni/Pb для LMT</w:t>
            </w:r>
          </w:p>
        </w:tc>
        <w:tc>
          <w:tcPr>
            <w:tcW w:w="57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При наличии соответствующих материалов; ст. 8(1).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18.08.2031</w:t>
            </w:r>
          </w:p>
        </w:tc>
        <w:tc>
          <w:tcPr>
            <w:tcW w:w="408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Минимальные доли переработанного содержания</w:t>
            </w:r>
          </w:p>
        </w:tc>
        <w:tc>
          <w:tcPr>
            <w:tcW w:w="5726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EV и применимые промышленные: Co 16 %, Pb 85 %, Li 6 %, Ni 6 %; ст. 8(2).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83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18.08.2036</w:t>
            </w:r>
          </w:p>
        </w:tc>
        <w:tc>
          <w:tcPr>
            <w:tcW w:w="408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Повышенные минимальные доли, включая LMT</w:t>
            </w:r>
          </w:p>
        </w:tc>
        <w:tc>
          <w:tcPr>
            <w:tcW w:w="5726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Co 26 %, Pb 85 %, Li 12 %, Ni 15 %; ст. 8(3).</w:t>
            </w:r>
          </w:p>
        </w:tc>
      </w:tr>
    </w:tbl>
    <w:p w:rsidR="004F69CB" w:rsidRDefault="004F69CB" w:rsidP="004F69CB"/>
    <w:p w:rsidR="004F69CB" w:rsidRDefault="004F69CB" w:rsidP="004F69CB">
      <w:pPr>
        <w:rPr>
          <w:b/>
          <w:color w:val="15803D"/>
        </w:rPr>
      </w:pPr>
      <w:r w:rsidRPr="004F69CB">
        <w:rPr>
          <w:b/>
          <w:color w:val="15803D"/>
        </w:rPr>
        <w:t>Примечание по углеродному следу: даты статьи 7 являются формулами «базовая дата либо N месяцев после вступления в силу необходимых актов — что позднее». Руководство Комиссии версии 2.0 прямо указывает, что поля 17–18 не нужно заполнять/показывать в паспорте на февраль 2027 года, пока не определён формат.</w:t>
      </w:r>
    </w:p>
    <w:p w:rsidR="004F69CB" w:rsidRDefault="004F69CB">
      <w:pPr>
        <w:spacing w:after="160" w:line="259" w:lineRule="auto"/>
        <w:rPr>
          <w:b/>
          <w:color w:val="15803D"/>
        </w:rPr>
      </w:pPr>
      <w:r>
        <w:rPr>
          <w:b/>
          <w:color w:val="15803D"/>
        </w:rPr>
        <w:br w:type="page"/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6. Паспорт EV-батареи: полный перечень данных</w:t>
      </w:r>
    </w:p>
    <w:p w:rsidR="004F69CB" w:rsidRDefault="004F69CB" w:rsidP="004F69CB">
      <w:pPr>
        <w:rPr>
          <w:b/>
          <w:color w:val="15803D"/>
          <w:sz w:val="20"/>
        </w:rPr>
      </w:pPr>
      <w:r w:rsidRPr="004F69CB">
        <w:rPr>
          <w:b/>
          <w:color w:val="15803D"/>
          <w:sz w:val="20"/>
        </w:rPr>
        <w:t>Охват: тяговые батареи гибридных и электрических транспортных средств по статье 3(14). Паспорт обязателен с 18.02.2027.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1701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5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Категория статуса</w:t>
            </w:r>
          </w:p>
        </w:tc>
        <w:tc>
          <w:tcPr>
            <w:tcW w:w="1701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Количество полей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Обязательно на запуске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47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Необязательно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1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Условно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8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Будущее / не на 18.02.2027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7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Не заполнять / не применимо / дубль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8</w:t>
            </w:r>
          </w:p>
        </w:tc>
      </w:tr>
    </w:tbl>
    <w:p w:rsidR="004F69CB" w:rsidRDefault="004F69CB" w:rsidP="004F69CB">
      <w:pPr>
        <w:rPr>
          <w:b/>
          <w:color w:val="15803D"/>
          <w:sz w:val="20"/>
        </w:rPr>
      </w:pPr>
    </w:p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Идентификация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Уникальный идентификатор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Связан с QR-кодом и конкретной батареей.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Публичная/системная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Ст. 77(3)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Лицо или организация, регистрирующая и/или отвечающая за паспорт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Ответственный экономический оператор.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Публичная/системная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Ст. 77(3)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Наименование производителя, зарегистрированное коммерческое наименование или товарный знак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Почтовый адрес производителя и единая контактная точка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Сайт и адрес электронной почты производителя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BEAFE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Заполняется, если такие данные имеются.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Категория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EV.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Идентификатор модели и номер партии, серийный или продуктовый номер либо иной идентификатор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Должен позволять однозначно определить модель/экземпляр.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Место производства: географическое расположение производственной площадки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Дата производства: месяц и год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A(4)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Масса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A(5)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Ёмкость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Хранить значение и единицу измерения.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A(6)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Химический состав/электрохимическая система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A(7)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Опасные вещества, кроме ртути, кадмия и свинца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Перечень фактически присутствующих веществ.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A(8)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Допустимое огнетушащее вещество/средство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A(9)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15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Критические сырьевые материалы с концентрацией более 0,1 % по массе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A(10)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Устойчивость и циркулярность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Материальный состав, химия, опасные вещества и критическое сырьё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Отдельно не дублировать: содержание покрыто полями 12, 13 и 15.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Декларация углеродного следа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 запуске 18.02.2027 не заполнять; формат зависит от будущего акта. Отдельная обязанность ст. 7 может наступить позже по формуле «дата или срок после актов — что позднее».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1(c); ст. 7(1)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Маркировка и класс углеродного следа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 запуске 18.02.2027 не заполнять; формат и классы должны быть установлены актами.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1(c); ст. 7(2)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об ответственном снабжении из отчёта по политике должной осмотрительности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требуется в паспорте на 18.02.2027; с 18.08.2027 — если оператор подпадает под главу VII. Порог: 40 млн евро консолидированного оборота.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1(d); ст. 48, 52(3)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кобальта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ориентир 18.08.2028 либо 24 месяца после делегированного акта — что позднее, если кобальт присутствует.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лития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применяется при наличии лития и после наступления срока ст. 8.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никеля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применяется при наличии никеля и после наступления срока ст. 8.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свинца в батарее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применяется при наличии свинца и после наступления срока ст. 8.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24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возобновляемого содержимого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Руководство Комиссии относит поле к обязательным; формат/единицу нужно сверять с последующими разъяснениями.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1(f)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25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Номинальная ёмкость, А·ч</w:t>
            </w:r>
          </w:p>
        </w:tc>
        <w:tc>
          <w:tcPr>
            <w:tcW w:w="153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Отдельно не повторять: то же значение уже требуется в поле 11.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1(g)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Характеристики и долговечность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Минимальное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Номинальное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Максимальное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Исходная мощность, Вт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1(i)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Ограничения мощности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1(i)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срок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1(j)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Эталонное испытание для ожидаемого срока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1(j)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Порог ёмкости, при котором батарея считается исчерпавшей ресурс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для EV-батарей.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1(k)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34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Диапазон температур, выдерживаемый батареей при хранении/неиспользовании, с указанием эталонного испытания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1(l)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35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 коммерческой гарантии на календарный срок службы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если предусмотрена коммерческая гарантия.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1(m)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Начальная эффективность полного цикла заряда-разряда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1(n)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Эффективность полного цикла при 50 % циклического ресурса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1(n)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Внутреннее сопротивление ячеек и батарейного блока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1(o)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C-rate соответствующего испытания циклического ресурса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1(p)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Маркировка и документы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Маркировка раздельного сбора батарей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Символ раздельного сбора.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1(q); ст. 13(4)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Химический символ Cd или Pb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при превышении порога кадмия 0,002 % или свинца 0,004 %.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1(q); ст. 13(5)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Декларация соответствия ЕС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Ссылка или документ с устойчивым идентификатором.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1(r); ст. 18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 предотвращении образования и обращении с отходами батарей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Включает использование, раздельный сбор, точки возврата, безопасность, смысл маркировки и воздействие опасных веществ.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1(s); ст. 74(1)(a–f)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44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Печатные/скачиваемые инструкции по эксплуатации для доступа при отказе батареи</w:t>
            </w:r>
          </w:p>
        </w:tc>
        <w:tc>
          <w:tcPr>
            <w:tcW w:w="153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 руководству Комиссии не заполнять на 18.02.2027.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1(t), проект/изменение Omnibus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Закрытые данные модели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Детальный состав: материалы катода, анода и электролита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публиковать открыто.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Номера деталей компонентов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ремонта, восстановления и переработки.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Контакты источников запасных частей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 разборке: взрыв-схемы, последовательность, крепления, инструменты, предупреждения, число и компоновка ячеек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Хранить структурированно и с версиями схем.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2(c)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49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Меры безопасности при разборке и обращении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2(d)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Контроль соответствия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50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Результаты испытаний, подтверждающих соответствие Регламенту и принятым актам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Максимально ограниченный доступ.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Органы оценки/надзора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3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Динамические данные экземпляра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номинальная ёмкость, А·ч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Динамическое значение экземпляра; обновляется при изменении статуса.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ёмкости,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мощность, Вт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мощности,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Текущее внутреннее сопротивление, Ом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Рост внутреннего сопротивления,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эффективность полного цикла заряда-разряда,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Когда параметр применим.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эффективности полного цикла,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Когда параметр применим.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остаточный/расчётный срок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Кроме нециклических применений.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срок службы в календарных годах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Состояние сертифицированной энергии — SOCE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Специальный показатель для EV.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ёмкость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заполнять: для EV используется SOCE.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мощность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заполнять: для EV используется SOCE.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эффективность полного цикла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заполнять: для EV используется SOCE.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Изменение скорости саморазряда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заполнять: для EV используется SOCE.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Омическое сопротивление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заполнять: для EV используется SOCE.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Статус батареи: original, repurposed, re-used, remanufactured или waste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Использовать контролируемый справочник статусов.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4(c)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Количество циклов заряда и 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 и доступно из BMS/истории эксплуатации.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Негативные события, включая аварии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хранить событие, дату и источник.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Периодически фиксируемые условия эксплуатации, включая температуру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требуется временной ряд/агрегаты и единицы.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71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Периодически фиксируемое состояние заряда — SoC</w:t>
            </w:r>
          </w:p>
        </w:tc>
        <w:tc>
          <w:tcPr>
            <w:tcW w:w="1531" w:type="dxa"/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определить периодичность и источник BMS.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</w:tbl>
    <w:p w:rsidR="004F69CB" w:rsidRDefault="004F69CB" w:rsidP="004F69CB"/>
    <w:p w:rsidR="004F69CB" w:rsidRDefault="004F69CB">
      <w:pPr>
        <w:spacing w:after="160" w:line="259" w:lineRule="auto"/>
      </w:pPr>
      <w:r>
        <w:br w:type="page"/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7. Паспорт LMT-батареи: полный перечень данных</w:t>
      </w:r>
    </w:p>
    <w:p w:rsidR="004F69CB" w:rsidRDefault="004F69CB" w:rsidP="004F69CB">
      <w:pPr>
        <w:rPr>
          <w:b/>
          <w:color w:val="15803D"/>
          <w:sz w:val="20"/>
        </w:rPr>
      </w:pPr>
      <w:r w:rsidRPr="004F69CB">
        <w:rPr>
          <w:b/>
          <w:color w:val="15803D"/>
          <w:sz w:val="20"/>
        </w:rPr>
        <w:t>Охват: герметичные тяговые батареи до 25 кг для лёгкого колёсного электротранспорта, не являющиеся EV. Паспорт обязателен с 18.02.2027.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1701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5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Категория статуса</w:t>
            </w:r>
          </w:p>
        </w:tc>
        <w:tc>
          <w:tcPr>
            <w:tcW w:w="1701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Количество полей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Обязательно на запуске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50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Необязательно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1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Условно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8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Будущее / не на 18.02.2027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7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Не заполнять / не применимо / дубль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5</w:t>
            </w:r>
          </w:p>
        </w:tc>
      </w:tr>
    </w:tbl>
    <w:p w:rsidR="004F69CB" w:rsidRDefault="004F69CB" w:rsidP="004F69CB">
      <w:pPr>
        <w:rPr>
          <w:b/>
          <w:color w:val="15803D"/>
          <w:sz w:val="20"/>
        </w:rPr>
      </w:pPr>
    </w:p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Идентификация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Уникальный идентификатор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Связан с QR-кодом и конкретной батареей.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Публичная/системная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Ст. 77(3)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Лицо или организация, регистрирующая и/или отвечающая за паспорт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Ответственный экономический оператор.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Публичная/системная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Ст. 77(3)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Наименование производителя, зарегистрированное коммерческое наименование или товарный знак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Почтовый адрес производителя и единая контактная точка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Сайт и адрес электронной почты производителя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BEAFE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Заполняется, если такие данные имеются.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Категория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LMT.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Идентификатор модели и номер партии, серийный или продуктовый номер либо иной идентификатор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Должен позволять однозначно определить модель/экземпляр.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Место производства: географическое расположение производственной площадки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Дата производства: месяц и год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A(4)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Масса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A(5)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Ёмкость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Хранить значение и единицу измерения.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A(6)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Химический состав/электрохимическая система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A(7)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Опасные вещества, кроме ртути, кадмия и свинца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Перечень фактически присутствующих веществ.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A(8)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Допустимое огнетушащее вещество/средство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A(9)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15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Критические сырьевые материалы с концентрацией более 0,1 % по массе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A(10)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Устойчивость и циркулярность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Материальный состав, химия, опасные вещества и критическое сырьё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Отдельно не дублировать: содержание покрыто полями 12, 13 и 15.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Декларация углеродного следа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 запуске не заполнять; ориентир ст. 7 для LMT — не ранее 18.08.2028 и не ранее 18 месяцев после необходимых актов.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1(c); ст. 7(1)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Маркировка и класс углеродного следа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 запуске не заполнять; для LMT базовая дата класса — 18.02.2030 либо позже по формуле Регламента.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1(c); ст. 7(2)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об ответственном снабжении из отчёта по политике должной осмотрительности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требуется на запуске; с 18.08.2027 — при применимости главы VII.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1(d); ст. 48, 52(3)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кобальта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для LMT ориентир 18.08.2033, если кобальт присутствует.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лития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для LMT ориентир 18.08.2033 при наличии лития.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никеля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для LMT ориентир 18.08.2033 при наличии никеля.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свинца в батарее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для LMT ориентир 18.08.2033 при наличии свинца.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24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возобновляемого содержимого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Руководство Комиссии относит поле к обязательным; формат/единицу нужно сверять с последующими разъяснениями.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1(f)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25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Номинальная ёмкость, А·ч</w:t>
            </w:r>
          </w:p>
        </w:tc>
        <w:tc>
          <w:tcPr>
            <w:tcW w:w="153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Отдельно не повторять: то же значение уже требуется в поле 11.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1(g)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Характеристики и долговечность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Минимальное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Номинальное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Максимальное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Исходная мощность, Вт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1(i)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Ограничения мощности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1(i)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срок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1(j)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Эталонное испытание для ожидаемого срока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1(j)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Порог ёмкости, при котором батарея считается исчерпавшей ресурс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заполнять для LMT.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1(k)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34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Диапазон температур, выдерживаемый батареей при хранении/неиспользовании, с указанием эталонного испытания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1(l)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35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 коммерческой гарантии на календарный срок службы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если предусмотрена коммерческая гарантия.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1(m)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Начальная эффективность полного цикла заряда-разряда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1(n)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Эффективность полного цикла при 50 % циклического ресурса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1(n)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Внутреннее сопротивление ячеек и батарейного блока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1(o)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C-rate соответствующего испытания циклического ресурса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1(p)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Маркировка и документы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Маркировка раздельного сбора батарей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Символ раздельного сбора.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1(q); ст. 13(4)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Химический символ Cd или Pb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при превышении порога кадмия 0,002 % или свинца 0,004 %.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1(q); ст. 13(5)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Декларация соответствия ЕС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Ссылка или документ с устойчивым идентификатором.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1(r); ст. 18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 предотвращении образования и обращении с отходами батарей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 же; информация должна быть понятна на языке рынка.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1(s); ст. 74(1)(a–f)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44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Печатные/скачиваемые инструкции по эксплуатации для доступа при отказе батареи</w:t>
            </w:r>
          </w:p>
        </w:tc>
        <w:tc>
          <w:tcPr>
            <w:tcW w:w="153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 руководству Комиссии не заполнять на 18.02.2027.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1(t), проект/изменение Omnibus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Закрытые данные модели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Детальный состав: материалы катода, анода и электролита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публиковать открыто.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Номера деталей компонентов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ремонта, восстановления и переработки.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Контакты источников запасных частей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 разборке: взрыв-схемы, последовательность, крепления, инструменты, предупреждения, число и компоновка ячеек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Хранить структурированно и с версиями схем.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2(c)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49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Меры безопасности при разборке и обращении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2(d)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Контроль соответствия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50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Результаты испытаний, подтверждающих соответствие Регламенту и принятым актам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Максимально ограниченный доступ.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Органы оценки/надзора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3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Динамические данные экземпляра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номинальная ёмкость, А·ч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Динамическое значение экземпляра; обновляется при изменении статуса.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ёмкости,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мощность, Вт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мощности,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Текущее внутреннее сопротивление, Ом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Рост внутреннего сопротивления,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эффективность полного цикла заряда-разряда,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Когда параметр применим.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эффективности полного цикла,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Когда параметр применим.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остаточный/расчётный срок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Кроме нециклических применений.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срок службы в календарных годах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Состояние сертифицированной энергии — SOCE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LMT используются поля 62–66.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ёмкость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Обязательный показатель состояния здоровья.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мощность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Указывать, когда технически возможно.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эффективность полного цикла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Указывать, когда технически возможно.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Изменение скорости саморазряда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Обязательный показатель состояния здоровья.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Омическое сопротивление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Указывать, когда технически возможно.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Статус батареи: original, repurposed, re-used, remanufactured или waste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Использовать контролируемый справочник статусов.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4(c)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Количество циклов заряда и 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 и доступно из BMS/истории эксплуатации.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Негативные события, включая аварии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хранить событие, дату и источник.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Периодически фиксируемые условия эксплуатации, включая температуру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требуется временной ряд/агрегаты и единицы.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71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Периодически фиксируемое состояние заряда — SoC</w:t>
            </w:r>
          </w:p>
        </w:tc>
        <w:tc>
          <w:tcPr>
            <w:tcW w:w="1531" w:type="dxa"/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определить периодичность и источник BMS.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</w:tbl>
    <w:p w:rsidR="004F69CB" w:rsidRDefault="004F69CB" w:rsidP="004F69CB"/>
    <w:p w:rsidR="004F69CB" w:rsidRDefault="004F69CB">
      <w:pPr>
        <w:spacing w:after="160" w:line="259" w:lineRule="auto"/>
      </w:pPr>
      <w:r>
        <w:br w:type="page"/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8. Паспорт промышленной батареи: полный перечень данных</w:t>
      </w:r>
    </w:p>
    <w:p w:rsidR="004F69CB" w:rsidRDefault="004F69CB" w:rsidP="004F69CB">
      <w:pPr>
        <w:rPr>
          <w:b/>
          <w:color w:val="15803D"/>
          <w:sz w:val="20"/>
        </w:rPr>
      </w:pPr>
      <w:r w:rsidRPr="004F69CB">
        <w:rPr>
          <w:b/>
          <w:color w:val="15803D"/>
          <w:sz w:val="20"/>
        </w:rPr>
        <w:t>Охват: промышленные батареи ёмкостью более 2 кВт·ч. Условия отдельных полей зависят от перезаряжаемости, применения, BMS и того, является ли система стационарным накопителем или батареей с исключительно внешним хранением.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252"/>
        <w:gridCol w:w="1701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25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Категория статуса</w:t>
            </w:r>
          </w:p>
        </w:tc>
        <w:tc>
          <w:tcPr>
            <w:tcW w:w="1701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Количество полей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Обязательно на запуске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32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Необязательно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1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Условно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26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Будущее / не на 18.02.2027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7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425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Не заполнять / не применимо / дубль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color w:val="15803D"/>
                <w:sz w:val="16"/>
              </w:rPr>
            </w:pPr>
            <w:r w:rsidRPr="004F69CB">
              <w:rPr>
                <w:color w:val="15803D"/>
                <w:sz w:val="16"/>
              </w:rPr>
              <w:t>5</w:t>
            </w:r>
          </w:p>
        </w:tc>
      </w:tr>
    </w:tbl>
    <w:p w:rsidR="004F69CB" w:rsidRDefault="004F69CB" w:rsidP="004F69CB">
      <w:pPr>
        <w:rPr>
          <w:b/>
          <w:color w:val="15803D"/>
          <w:sz w:val="20"/>
        </w:rPr>
      </w:pPr>
    </w:p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Идентификация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Уникальный идентификатор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Связан с QR-кодом и конкретной батареей.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Публичная/системная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Ст. 77(3)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Лицо или организация, регистрирующая и/или отвечающая за паспорт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Ответственный экономический оператор.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Публичная/системная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Ст. 77(3)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Наименование производителя, зарегистрированное коммерческое наименование или товарный знак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Почтовый адрес производителя и единая контактная точка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Сайт и адрес электронной почты производителя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BEAFE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Заполняется, если такие данные имеются.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Категория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Industrial.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Идентификатор модели и номер партии, серийный или продуктовый номер либо иной идентификатор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Должен позволять однозначно определить модель/экземпляр.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Место производства: географическое расположение производственной площадки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Дата производства: месяц и год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A(4)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Масса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A(5)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Ёмкость батареи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Хранить значение и единицу измерения.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A(6)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Химический состав/электрохимическая система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A(7)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Опасные вещества, кроме ртути, кадмия и свинца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Перечень фактически присутствующих веществ.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A(8)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Допустимое огнетушащее вещество/средство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A(9)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15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Критические сырьевые материалы с концентрацией более 0,1 % по массе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VI, ч. A(10)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Устойчивость и циркулярность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Материальный состав, химия, опасные вещества и критическое сырьё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Отдельно не дублировать: содержание покрыто полями 12, 13 и 15.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Декларация углеродного следа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 запуске не заполнять; сроки различаются для перезаряжаемых промышленных батарей с внутренним и исключительно внешним хранением.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1(c); ст. 7(1)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Маркировка и класс углеродного следа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 запуске не заполнять; сроки зависят от типа промышленной батареи и принятия актов.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1(c); ст. 7(2)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19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об ответственном снабжении из отчёта по политике должной осмотрительности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требуется на запуске; с 18.08.2027 — при применимости главы VII.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1(d); ст. 48, 52(3)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кобальта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для промышленных &gt;2 кВт·ч, кроме исключительно внешнего хранения, ориентир 18.08.2028 либо позже по формуле ст. 8.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лития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применяется при наличии лития и с учётом исключения для исключительно внешнего хранения.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никеля в активных материалах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применяется при наличии никеля и с учётом исключения для исключительно внешнего хранения.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переработанного свинца в батарее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FEDD5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БУДУЩЕЕ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на запуске; применяется при наличии свинца и с учётом исключения для исключительно внешнего хранения.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1(e); ст. 8(1)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24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Доля возобновляемого содержимого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Руководство Комиссии относит поле к обязательным; формат/единицу нужно сверять с последующими разъяснениями.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1(f)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25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Номинальная ёмкость, А·ч</w:t>
            </w:r>
          </w:p>
        </w:tc>
        <w:tc>
          <w:tcPr>
            <w:tcW w:w="153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Отдельно не повторять: то же значение уже требуется в поле 11.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1(g)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Характеристики и долговечность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Минимальное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Номинальное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Максимальное напряжение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1(h)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29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Исходная мощность, Вт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1(i)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Ограничения мощности и температурный диапазон, когда релевантно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1(i)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срок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Обязательно только для промышленных батарей, для которых срок службы корректно выражается в циклах.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1(j)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Эталонное испытание для ожидаемого срока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Требуется вместе с полем 31, если циклический показатель применим.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1(j)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Порог ёмкости, при котором батарея считается исчерпавшей ресурс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заполнять для промышленных батарей.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1(k)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34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Диапазон температур, выдерживаемый батареей при хранении/неиспользовании, с указанием эталонного испытания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1(l)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35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 коммерческой гарантии на календарный срок службы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если предусмотрена коммерческая гарантия.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1(m)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36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Начальная эффективность полного цикла заряда-разряда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для тех промышленных батарей, для которых параметр технически применим.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1(n)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37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Эффективность полного цикла при 50 % циклического ресурса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для тех промышленных батарей, для которых параметр технически применим.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1(n)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38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Внутреннее сопротивление ячеек и батарейного блока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1(o)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39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C-rate соответствующего испытания циклического ресурса</w:t>
            </w:r>
          </w:p>
        </w:tc>
        <w:tc>
          <w:tcPr>
            <w:tcW w:w="1531" w:type="dxa"/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для тех промышленных батарей, для которых циклическое испытание применимо.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1(p)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Маркировка и документы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40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Маркировка раздельного сбора батарей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Символ раздельного сбора.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1(q); ст. 13(4)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41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Химический символ Cd или Pb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Только при превышении порога кадмия 0,002 % или свинца 0,004 %.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1(q); ст. 13(5)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42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Декларация соответствия ЕС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Ссылка или документ с устойчивым идентификатором.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1(r); ст. 18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43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 предотвращении образования и обращении с отходами батарей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То же; учитывать промышленное обращение и безопасную передачу отходов.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1(s); ст. 74(1)(a–f)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44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Печатные/скачиваемые инструкции по эксплуатации для доступа при отказе батареи</w:t>
            </w:r>
          </w:p>
        </w:tc>
        <w:tc>
          <w:tcPr>
            <w:tcW w:w="153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По руководству Комиссии не заполнять на 18.02.2027; предполагаемая область — стационарные системы хранения, после окончательного применения изменения.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Публичная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1(t), проект/изменение Omnibus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Закрытые данные модели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Детальный состав: материалы катода, анода и электролита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 публиковать открыто.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Номера деталей компонентов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ремонта, восстановления и переработки.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Контакты источников запасных частей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2(b)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Информация о разборке: взрыв-схемы, последовательность, крепления, инструменты, предупреждения, число и компоновка ячеек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Хранить структурированно и с версиями схем.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2(c)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49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Меры безопасности при разборке и обращении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Без дополнительного условия, если поле применимо к данной категории.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2(d)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Контроль соответствия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50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Результаты испытаний, подтверждающих соответствие Регламенту и принятым актам</w:t>
            </w:r>
          </w:p>
        </w:tc>
        <w:tc>
          <w:tcPr>
            <w:tcW w:w="1531" w:type="dxa"/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Максимально ограниченный доступ.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Органы оценки/надзора + Комиссия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3</w:t>
            </w:r>
          </w:p>
        </w:tc>
      </w:tr>
    </w:tbl>
    <w:p w:rsidR="004F69CB" w:rsidRDefault="004F69CB" w:rsidP="004F69CB"/>
    <w:p w:rsidR="004F69CB" w:rsidRDefault="004F69CB" w:rsidP="004F69CB">
      <w:pPr>
        <w:pStyle w:val="2"/>
        <w:spacing w:after="100"/>
        <w:rPr>
          <w:b w:val="0"/>
        </w:rPr>
      </w:pPr>
      <w:r w:rsidRPr="004F69CB">
        <w:rPr>
          <w:b w:val="0"/>
        </w:rPr>
        <w:t>Динамические данные экземпляра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97"/>
        <w:gridCol w:w="3742"/>
        <w:gridCol w:w="1531"/>
        <w:gridCol w:w="4365"/>
        <w:gridCol w:w="2608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9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№</w:t>
            </w:r>
          </w:p>
        </w:tc>
        <w:tc>
          <w:tcPr>
            <w:tcW w:w="3742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Поле данных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Статус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Условие / срок</w:t>
            </w:r>
          </w:p>
        </w:tc>
        <w:tc>
          <w:tcPr>
            <w:tcW w:w="260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4"/>
              </w:rPr>
            </w:pPr>
            <w:r w:rsidRPr="004F69CB">
              <w:rPr>
                <w:b/>
                <w:color w:val="FFFFFF"/>
                <w:sz w:val="14"/>
              </w:rPr>
              <w:t>Доступ и основание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номинальная ёмкость, А·ч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динамическое значение экземпляра.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ёмкости,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параметр применим к конкретной промышленной батарее.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мощность, Вт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параметр применим.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мощности,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параметр применим.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Текущее внутреннее сопротивление, Ом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параметр применим.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Рост внутреннего сопротивления,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параметр применим.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Текущая эффективность полного цикла заряда-разряда,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Когда параметр применим.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Снижение эффективности полного цикла, %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Когда параметр применим.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59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остаточный/расчётный срок службы в циклах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параметр применим; не использовать для нециклических применений.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Ожидаемый срок службы в календарных годах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параметр применим.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4(a)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61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Состояние сертифицированной энергии — SOCE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НЕ ЗАПОЛНЯТЬ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стационарных систем используются поля 62–66, а не SOCE.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62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ёмкость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стационарной системы хранения и иных применимых промышленных батарей.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63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мощность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применимых промышленных батарей, когда возможно.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64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Остаточная эффективность полного цикла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применимых промышленных батарей, когда возможно.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65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Изменение скорости саморазряда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применимых промышленных батарей.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66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Омическое сопротивление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Для применимых промышленных батарей, когда возможно.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4(b); ст. 14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67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Статус батареи: original, repurposed, re-used, remanufactured или waste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DCFCE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ОБЯЗАТЕЛЬНО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Использовать контролируемый справочник статусов.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4(c)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68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Количество циклов заряда и разряда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 и доступно из BMS/истории эксплуатации.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69</w:t>
            </w:r>
          </w:p>
        </w:tc>
        <w:tc>
          <w:tcPr>
            <w:tcW w:w="374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Негативные события, включая аварии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хранить событие, дату и источник.</w:t>
            </w:r>
          </w:p>
        </w:tc>
        <w:tc>
          <w:tcPr>
            <w:tcW w:w="260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70</w:t>
            </w:r>
          </w:p>
        </w:tc>
        <w:tc>
          <w:tcPr>
            <w:tcW w:w="3742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Периодически фиксируемые условия эксплуатации, включая температуру</w:t>
            </w:r>
          </w:p>
        </w:tc>
        <w:tc>
          <w:tcPr>
            <w:tcW w:w="1531" w:type="dxa"/>
            <w:tcBorders>
              <w:bottom w:val="single" w:sz="4" w:space="0" w:color="auto"/>
            </w:tcBorders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требуется временной ряд/агрегаты и единицы.</w:t>
            </w:r>
          </w:p>
        </w:tc>
        <w:tc>
          <w:tcPr>
            <w:tcW w:w="260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39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71</w:t>
            </w:r>
          </w:p>
        </w:tc>
        <w:tc>
          <w:tcPr>
            <w:tcW w:w="3742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Периодически фиксируемое состояние заряда — SoC</w:t>
            </w:r>
          </w:p>
        </w:tc>
        <w:tc>
          <w:tcPr>
            <w:tcW w:w="1531" w:type="dxa"/>
            <w:shd w:val="clear" w:color="auto" w:fill="FEF3C7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sz w:val="14"/>
              </w:rPr>
            </w:pPr>
            <w:r w:rsidRPr="004F69CB">
              <w:rPr>
                <w:b/>
                <w:sz w:val="14"/>
              </w:rPr>
              <w:t>УСЛОВНО</w:t>
            </w:r>
          </w:p>
        </w:tc>
        <w:tc>
          <w:tcPr>
            <w:tcW w:w="4365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Если применимо; определить периодичность и источник BMS.</w:t>
            </w:r>
          </w:p>
        </w:tc>
        <w:tc>
          <w:tcPr>
            <w:tcW w:w="2608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Законный интерес</w:t>
            </w:r>
          </w:p>
          <w:p w:rsidR="004F69CB" w:rsidRPr="004F69CB" w:rsidRDefault="004F69CB" w:rsidP="004F69CB">
            <w:pPr>
              <w:spacing w:after="0"/>
              <w:rPr>
                <w:sz w:val="14"/>
              </w:rPr>
            </w:pPr>
            <w:r w:rsidRPr="004F69CB">
              <w:rPr>
                <w:sz w:val="14"/>
              </w:rPr>
              <w:t>Прил. XIII 4(d)</w:t>
            </w:r>
          </w:p>
        </w:tc>
      </w:tr>
    </w:tbl>
    <w:p w:rsidR="004F69CB" w:rsidRDefault="004F69CB" w:rsidP="004F69CB"/>
    <w:p w:rsidR="004F69CB" w:rsidRDefault="004F69CB">
      <w:pPr>
        <w:spacing w:after="160" w:line="259" w:lineRule="auto"/>
      </w:pPr>
      <w:r>
        <w:br w:type="page"/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9. Уровни доступа и хранение данных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268"/>
        <w:gridCol w:w="1814"/>
        <w:gridCol w:w="4195"/>
        <w:gridCol w:w="4365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26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Класс доступа</w:t>
            </w:r>
          </w:p>
        </w:tc>
        <w:tc>
          <w:tcPr>
            <w:tcW w:w="1814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Поля</w:t>
            </w:r>
          </w:p>
        </w:tc>
        <w:tc>
          <w:tcPr>
            <w:tcW w:w="419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Кому</w:t>
            </w:r>
          </w:p>
        </w:tc>
        <w:tc>
          <w:tcPr>
            <w:tcW w:w="4365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Практическое требование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Публичная информация модели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Поля 3–44 и связанные идентификационные данные</w:t>
            </w:r>
          </w:p>
        </w:tc>
        <w:tc>
          <w:tcPr>
            <w:tcW w:w="41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Покупатели, рынок, переработчики и другие пользователи без специального допуска.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Публиковать через паспорт; исключить коммерческие секреты, не предусмотренные публичным перечнем.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Законный интерес: модель</w:t>
            </w:r>
          </w:p>
        </w:tc>
        <w:tc>
          <w:tcPr>
            <w:tcW w:w="1814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Поля 45–49</w:t>
            </w:r>
          </w:p>
        </w:tc>
        <w:tc>
          <w:tcPr>
            <w:tcW w:w="419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Ремонт, восстановление, second-life, переработка; Комиссия и уполномоченные органы в предусмотренном объёме.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Аутентификация, роль, цель доступа, журналирование, ограничение скачивания/повторного использования.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Органы и оценка соответствия</w:t>
            </w:r>
          </w:p>
        </w:tc>
        <w:tc>
          <w:tcPr>
            <w:tcW w:w="181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Поле 50</w:t>
            </w:r>
          </w:p>
        </w:tc>
        <w:tc>
          <w:tcPr>
            <w:tcW w:w="419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Нотифицированные органы, органы рыночного надзора и Комиссия.</w:t>
            </w:r>
          </w:p>
        </w:tc>
        <w:tc>
          <w:tcPr>
            <w:tcW w:w="4365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Самый строгий доступ; не публиковать тестовые отчёты.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26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Законный интерес: экземпляр</w:t>
            </w:r>
          </w:p>
        </w:tc>
        <w:tc>
          <w:tcPr>
            <w:tcW w:w="1814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Поля 51–71</w:t>
            </w:r>
          </w:p>
        </w:tc>
        <w:tc>
          <w:tcPr>
            <w:tcW w:w="419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Лица с законным интересом для оценки остаточной стоимости, повторного использования, энергии и переработки.</w:t>
            </w:r>
          </w:p>
        </w:tc>
        <w:tc>
          <w:tcPr>
            <w:tcW w:w="4365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Разделить исходные события, рассчитанные показатели, время измерения и источник BMS.</w:t>
            </w:r>
          </w:p>
        </w:tc>
      </w:tr>
    </w:tbl>
    <w:p w:rsidR="004F69CB" w:rsidRDefault="004F69CB" w:rsidP="004F69CB"/>
    <w:p w:rsidR="004F69CB" w:rsidRDefault="004F69CB" w:rsidP="004F69CB">
      <w:pPr>
        <w:spacing w:after="60"/>
      </w:pPr>
      <w:r w:rsidRPr="004F69CB">
        <w:t>• Паспорт должен быть бесплатным для пользователей в рамках их прав доступа, машиночитаемым, структурированным, поисковым и передаваемым без привязки к одному поставщику.</w:t>
      </w:r>
    </w:p>
    <w:p w:rsidR="004F69CB" w:rsidRDefault="004F69CB" w:rsidP="004F69CB">
      <w:pPr>
        <w:spacing w:after="60"/>
      </w:pPr>
      <w:r w:rsidRPr="004F69CB">
        <w:t>• Данные могут храниться ответственным оператором или уполномоченным провайдером, но провайдер не вправе продавать или повторно использовать их сверх необходимого для услуги.</w:t>
      </w:r>
    </w:p>
    <w:p w:rsidR="004F69CB" w:rsidRDefault="004F69CB" w:rsidP="004F69CB">
      <w:pPr>
        <w:spacing w:after="60"/>
      </w:pPr>
      <w:r w:rsidRPr="004F69CB">
        <w:t>• При повторном использовании, перепрофилировании или восстановлении создаётся новый паспорт, связанный с исходным; ответственность переходит к оператору, вновь вводящему батарею на рынок/в эксплуатацию.</w:t>
      </w:r>
    </w:p>
    <w:p w:rsidR="004F69CB" w:rsidRDefault="004F69CB" w:rsidP="004F69CB">
      <w:pPr>
        <w:spacing w:after="60"/>
      </w:pPr>
      <w:r w:rsidRPr="004F69CB">
        <w:t>• Паспорт прекращает существовать после переработки батареи, однако проект хранения должен учитывать доказуемость действий и применимые сроки аудита.</w:t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10. Какие документы и источники данных запрашивать у клиента/поставщика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38"/>
        <w:gridCol w:w="1701"/>
        <w:gridCol w:w="8504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438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Пакет источников</w:t>
            </w:r>
          </w:p>
        </w:tc>
        <w:tc>
          <w:tcPr>
            <w:tcW w:w="1701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Связанные поля</w:t>
            </w:r>
          </w:p>
        </w:tc>
        <w:tc>
          <w:tcPr>
            <w:tcW w:w="8504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Что собирать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Корпоративные реквизиты и контакты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3–5, 8</w:t>
            </w:r>
          </w:p>
        </w:tc>
        <w:tc>
          <w:tcPr>
            <w:tcW w:w="85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Регистрационные документы, карточка производителя, адрес завода, контакты ответственного лица.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Спецификация и паспорт безопасности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6–15, 26–39</w:t>
            </w:r>
          </w:p>
        </w:tc>
        <w:tc>
          <w:tcPr>
            <w:tcW w:w="8504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Техническая спецификация, SDS, BoM, datasheet, протоколы эталонных испытаний, гарантийные условия.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Материалы и цепочка поставок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13, 15, 20–24, 45</w:t>
            </w:r>
          </w:p>
        </w:tc>
        <w:tc>
          <w:tcPr>
            <w:tcW w:w="85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BoM/материальная декларация, заявления поставщиков, данные о происхождении и переработанном содержании.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Углеродный след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17–18</w:t>
            </w:r>
          </w:p>
        </w:tc>
        <w:tc>
          <w:tcPr>
            <w:tcW w:w="8504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Отчёт расчёта по методике статьи 7, производственная площадка, жизненный цикл, номер декларации соответствия, публичная версия исследования.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Соответствие и испытания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42, 50</w:t>
            </w:r>
          </w:p>
        </w:tc>
        <w:tc>
          <w:tcPr>
            <w:tcW w:w="85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EU Declaration of Conformity, технический файл, протоколы испытаний, применённые стандарты и версии методик.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Ремонт и разборка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46–49</w:t>
            </w:r>
          </w:p>
        </w:tc>
        <w:tc>
          <w:tcPr>
            <w:tcW w:w="8504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Каталог деталей, контакты запчастей, exploded view, последовательность разборки, инструменты и меры безопасности.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Отходы и EPR</w:t>
            </w:r>
          </w:p>
        </w:tc>
        <w:tc>
          <w:tcPr>
            <w:tcW w:w="1701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40–43</w:t>
            </w:r>
          </w:p>
        </w:tc>
        <w:tc>
          <w:tcPr>
            <w:tcW w:w="8504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Макеты маркировки, инструкции возврата/сбора, информация по безопасности и обращению с отходами для конкретного рынка.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2438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BMS и эксплуатация</w:t>
            </w:r>
          </w:p>
        </w:tc>
        <w:tc>
          <w:tcPr>
            <w:tcW w:w="1701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51–71</w:t>
            </w:r>
          </w:p>
        </w:tc>
        <w:tc>
          <w:tcPr>
            <w:tcW w:w="8504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Экспорт BMS, описание алгоритмов расчёта, временные метки, события, температурные данные, SoC/SoH и история статуса.</w:t>
            </w:r>
          </w:p>
        </w:tc>
      </w:tr>
    </w:tbl>
    <w:p w:rsidR="004F69CB" w:rsidRDefault="004F69CB" w:rsidP="004F69CB"/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11. Рекомендации для модели данных Rovnota Systems</w:t>
      </w:r>
    </w:p>
    <w:p w:rsidR="004F69CB" w:rsidRDefault="004F69CB" w:rsidP="004F69CB">
      <w:pPr>
        <w:spacing w:after="60"/>
      </w:pPr>
      <w:r w:rsidRPr="004F69CB">
        <w:t>• Хранить отдельно данные модели и данные конкретного экземпляра. Поля 51–71 нельзя смешивать со статической карточкой модели.</w:t>
      </w:r>
    </w:p>
    <w:p w:rsidR="004F69CB" w:rsidRDefault="004F69CB" w:rsidP="004F69CB">
      <w:pPr>
        <w:spacing w:after="60"/>
      </w:pPr>
      <w:r w:rsidRPr="004F69CB">
        <w:t>• Для каждого значения хранить: значение, единицу измерения, категорию батареи, применимость, источник-документ, страницу/ячейку источника, дату получения, версию и статус проверки человеком.</w:t>
      </w:r>
    </w:p>
    <w:p w:rsidR="004F69CB" w:rsidRDefault="004F69CB" w:rsidP="004F69CB">
      <w:pPr>
        <w:spacing w:after="60"/>
      </w:pPr>
      <w:r w:rsidRPr="004F69CB">
        <w:t>• Статус поля должен быть не только «заполнено/пусто», а: required, conditional, future, not_applicable, duplicate, missing, conflicting, verified.</w:t>
      </w:r>
    </w:p>
    <w:p w:rsidR="004F69CB" w:rsidRDefault="004F69CB" w:rsidP="004F69CB">
      <w:pPr>
        <w:spacing w:after="60"/>
      </w:pPr>
      <w:r w:rsidRPr="004F69CB">
        <w:t>• Правила обязательности должны быть версионированы по дате и категории: паспорт 2027, должная осмотрительность с 18.08.2027, переработанное содержание и углеродный след — после отдельных триггеров.</w:t>
      </w:r>
    </w:p>
    <w:p w:rsidR="004F69CB" w:rsidRDefault="004F69CB" w:rsidP="004F69CB">
      <w:pPr>
        <w:spacing w:after="60"/>
      </w:pPr>
      <w:r w:rsidRPr="004F69CB">
        <w:t>• Причина «не применимо» должна быть доказуемой: например, нет коммерческой гарантии; химия не содержит конкретный материал; промышленное применение нециклическое; нет соответствующего показателя BMS.</w:t>
      </w:r>
    </w:p>
    <w:p w:rsidR="004F69CB" w:rsidRDefault="004F69CB" w:rsidP="004F69CB">
      <w:pPr>
        <w:spacing w:after="60"/>
      </w:pPr>
      <w:r w:rsidRPr="004F69CB">
        <w:t>• Закрытые поля 45–71 проектировать с отдельными правами доступа и аудитом; публичный экспорт не должен случайно включать состав, тестовые отчёты или эксплуатационные данные.</w:t>
      </w:r>
    </w:p>
    <w:p w:rsidR="004F69CB" w:rsidRDefault="004F69CB" w:rsidP="004F69CB">
      <w:pPr>
        <w:spacing w:after="60"/>
      </w:pPr>
      <w:r w:rsidRPr="004F69CB">
        <w:t>• Текущий продукт Rovnota может использовать эту матрицу как чек-лист подготовки и фильтрации документов, не заявляя о создании юридически действующего паспорта или регистрации в официальной инфраструктуре.</w:t>
      </w:r>
    </w:p>
    <w:p w:rsidR="004F69CB" w:rsidRDefault="004F69CB" w:rsidP="004F69CB">
      <w:pPr>
        <w:pStyle w:val="1"/>
        <w:spacing w:after="100"/>
        <w:rPr>
          <w:b w:val="0"/>
        </w:rPr>
      </w:pPr>
      <w:r w:rsidRPr="004F69CB">
        <w:rPr>
          <w:b w:val="0"/>
        </w:rPr>
        <w:t>12. Официальные источники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216"/>
        <w:gridCol w:w="7427"/>
      </w:tblGrid>
      <w:tr w:rsidR="004F69CB" w:rsidTr="004F69CB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5216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Источник</w:t>
            </w:r>
          </w:p>
        </w:tc>
        <w:tc>
          <w:tcPr>
            <w:tcW w:w="7427" w:type="dxa"/>
            <w:shd w:val="clear" w:color="auto" w:fill="0F172A"/>
            <w:vAlign w:val="center"/>
          </w:tcPr>
          <w:p w:rsidR="004F69CB" w:rsidRPr="004F69CB" w:rsidRDefault="004F69CB" w:rsidP="004F69CB">
            <w:pPr>
              <w:spacing w:after="0"/>
              <w:rPr>
                <w:b/>
                <w:color w:val="FFFFFF"/>
                <w:sz w:val="16"/>
              </w:rPr>
            </w:pPr>
            <w:r w:rsidRPr="004F69CB">
              <w:rPr>
                <w:b/>
                <w:color w:val="FFFFFF"/>
                <w:sz w:val="16"/>
              </w:rPr>
              <w:t>Ссылка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52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Консолидированный Регламент (ЕС) 2023/1542, актуальная редакция на 13.08.2026</w:t>
            </w:r>
          </w:p>
        </w:tc>
        <w:tc>
          <w:tcPr>
            <w:tcW w:w="74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https://eur-lex.europa.eu/legal-content/EN/TXT/?uri=CELEX:02023R1542-20260813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5216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Европейская комиссия: Digital Product Passport for Batteries</w:t>
            </w:r>
          </w:p>
        </w:tc>
        <w:tc>
          <w:tcPr>
            <w:tcW w:w="742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https://single-market-economy.ec.europa.eu/single-market/digital-product-passport/batteries_en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521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Guidance Document: Digital Batteries Passport – data points by category, Version 2.0, 15.08.2026</w:t>
            </w:r>
          </w:p>
        </w:tc>
        <w:tc>
          <w:tcPr>
            <w:tcW w:w="742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https://single-market-economy.ec.europa.eu/document/download/cd1e5e6c-4a4a-4b99-995a-49eb6916187e_en?filename=Digital+Batteries+Passport+-+data+point+by+category.pdf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5216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Регламент (ЕС) 2025/1561: перенос срока требований due diligence</w:t>
            </w:r>
          </w:p>
        </w:tc>
        <w:tc>
          <w:tcPr>
            <w:tcW w:w="7427" w:type="dxa"/>
            <w:shd w:val="clear" w:color="auto" w:fill="F1F5F9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https://eur-lex.europa.eu/eli/reg/2025/1561/oj</w:t>
            </w:r>
          </w:p>
        </w:tc>
      </w:tr>
      <w:tr w:rsidR="004F69CB" w:rsidTr="004F69CB">
        <w:tblPrEx>
          <w:tblCellMar>
            <w:top w:w="0" w:type="dxa"/>
            <w:bottom w:w="0" w:type="dxa"/>
          </w:tblCellMar>
        </w:tblPrEx>
        <w:tc>
          <w:tcPr>
            <w:tcW w:w="5216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Регламент (ЕС) 2024/1781 (ESPR): общая инфраструктура цифрового паспорта продукта</w:t>
            </w:r>
          </w:p>
        </w:tc>
        <w:tc>
          <w:tcPr>
            <w:tcW w:w="7427" w:type="dxa"/>
            <w:shd w:val="clear" w:color="auto" w:fill="auto"/>
            <w:vAlign w:val="center"/>
          </w:tcPr>
          <w:p w:rsidR="004F69CB" w:rsidRPr="004F69CB" w:rsidRDefault="004F69CB" w:rsidP="004F69CB">
            <w:pPr>
              <w:spacing w:after="0"/>
              <w:rPr>
                <w:sz w:val="16"/>
              </w:rPr>
            </w:pPr>
            <w:r w:rsidRPr="004F69CB">
              <w:rPr>
                <w:sz w:val="16"/>
              </w:rPr>
              <w:t>https://eur-lex.europa.eu/eli/reg/2024/1781/oj</w:t>
            </w:r>
          </w:p>
        </w:tc>
      </w:tr>
    </w:tbl>
    <w:p w:rsidR="004F69CB" w:rsidRDefault="004F69CB" w:rsidP="004F69CB"/>
    <w:p w:rsidR="004F69CB" w:rsidRDefault="004F69CB" w:rsidP="004F69CB">
      <w:pPr>
        <w:rPr>
          <w:b/>
        </w:rPr>
      </w:pPr>
      <w:r w:rsidRPr="004F69CB">
        <w:rPr>
          <w:b/>
        </w:rPr>
        <w:t>Методика: перечень из 71 пункта переведён и сгруппирован по официальному руководству Европейской комиссии версии 2.0. Юридические определения, сроки, уровни доступа и исключения сверены с консолидированным текстом Регламента. Руководство Комиссии помогает подготовке, но само не создаёт новых обязательств и не является окончательным толкованием права.</w:t>
      </w:r>
    </w:p>
    <w:p w:rsidR="004F69CB" w:rsidRPr="004F69CB" w:rsidRDefault="004F69CB" w:rsidP="004F69CB">
      <w:pPr>
        <w:rPr>
          <w:b/>
        </w:rPr>
      </w:pPr>
    </w:p>
    <w:sectPr w:rsidR="004F69CB" w:rsidRPr="004F69CB" w:rsidSect="004F69CB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6839" w:h="11907" w:orient="landscape"/>
      <w:pgMar w:top="850" w:right="907" w:bottom="850" w:left="90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F69CB" w:rsidRDefault="004F69CB" w:rsidP="004F69CB">
      <w:pPr>
        <w:spacing w:after="0"/>
      </w:pPr>
      <w:r>
        <w:separator/>
      </w:r>
    </w:p>
  </w:endnote>
  <w:endnote w:type="continuationSeparator" w:id="0">
    <w:p w:rsidR="004F69CB" w:rsidRDefault="004F69CB" w:rsidP="004F69CB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CB" w:rsidRDefault="004F69CB" w:rsidP="00A9607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end"/>
    </w:r>
  </w:p>
  <w:p w:rsidR="004F69CB" w:rsidRDefault="004F69CB" w:rsidP="004F69CB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CB" w:rsidRDefault="004F69CB" w:rsidP="00A96072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 PAGE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:rsidR="004F69CB" w:rsidRPr="004F69CB" w:rsidRDefault="004F69CB" w:rsidP="004F69CB">
    <w:pPr>
      <w:pStyle w:val="a5"/>
      <w:ind w:right="360"/>
      <w:jc w:val="center"/>
      <w:rPr>
        <w:color w:val="475569"/>
        <w:sz w:val="16"/>
      </w:rPr>
    </w:pPr>
    <w:r w:rsidRPr="004F69CB">
      <w:rPr>
        <w:color w:val="475569"/>
        <w:sz w:val="16"/>
      </w:rPr>
      <w:t xml:space="preserve">Исследовательский материал — проверять актуальность перед применением   |   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CB" w:rsidRDefault="004F69CB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F69CB" w:rsidRDefault="004F69CB" w:rsidP="004F69CB">
      <w:pPr>
        <w:spacing w:after="0"/>
      </w:pPr>
      <w:r>
        <w:separator/>
      </w:r>
    </w:p>
  </w:footnote>
  <w:footnote w:type="continuationSeparator" w:id="0">
    <w:p w:rsidR="004F69CB" w:rsidRDefault="004F69CB" w:rsidP="004F69CB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CB" w:rsidRDefault="004F69CB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CB" w:rsidRPr="004F69CB" w:rsidRDefault="004F69CB" w:rsidP="004F69CB">
    <w:pPr>
      <w:pStyle w:val="a3"/>
      <w:jc w:val="right"/>
      <w:rPr>
        <w:color w:val="475569"/>
        <w:sz w:val="16"/>
      </w:rPr>
    </w:pPr>
    <w:r w:rsidRPr="004F69CB">
      <w:rPr>
        <w:color w:val="475569"/>
        <w:sz w:val="16"/>
      </w:rPr>
      <w:t>Rovnota Systems  |  EU Battery Passport Requirements  |  16.09.2026</w: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4F69CB" w:rsidRDefault="004F69CB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69CB"/>
    <w:rsid w:val="004F69CB"/>
    <w:rsid w:val="00DE5202"/>
    <w:rsid w:val="00DF1864"/>
    <w:rsid w:val="00F252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86D2B5B-77C4-45DA-8448-B2B82527E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00" w:line="240" w:lineRule="auto"/>
    </w:pPr>
    <w:rPr>
      <w:rFonts w:ascii="Arial" w:hAnsi="Arial" w:cs="Arial"/>
      <w:color w:val="0F172A"/>
      <w:sz w:val="18"/>
    </w:rPr>
  </w:style>
  <w:style w:type="paragraph" w:styleId="1">
    <w:name w:val="heading 1"/>
    <w:basedOn w:val="a"/>
    <w:next w:val="a"/>
    <w:link w:val="10"/>
    <w:uiPriority w:val="9"/>
    <w:qFormat/>
    <w:rsid w:val="004F69CB"/>
    <w:pPr>
      <w:keepNext/>
      <w:keepLines/>
      <w:spacing w:before="240" w:after="0"/>
      <w:outlineLvl w:val="0"/>
    </w:pPr>
    <w:rPr>
      <w:rFonts w:eastAsiaTheme="majorEastAsia"/>
      <w:b/>
      <w:sz w:val="3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4F69CB"/>
    <w:pPr>
      <w:keepNext/>
      <w:keepLines/>
      <w:spacing w:before="40" w:after="0"/>
      <w:outlineLvl w:val="1"/>
    </w:pPr>
    <w:rPr>
      <w:rFonts w:eastAsiaTheme="majorEastAsia"/>
      <w:b/>
      <w:sz w:val="28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F69CB"/>
    <w:pPr>
      <w:keepNext/>
      <w:keepLines/>
      <w:spacing w:before="40" w:after="0"/>
      <w:outlineLvl w:val="2"/>
    </w:pPr>
    <w:rPr>
      <w:rFonts w:eastAsiaTheme="majorEastAsia"/>
      <w:b/>
      <w:sz w:val="22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F69CB"/>
    <w:rPr>
      <w:rFonts w:ascii="Arial" w:eastAsiaTheme="majorEastAsia" w:hAnsi="Arial" w:cs="Arial"/>
      <w:b/>
      <w:color w:val="0F172A"/>
      <w:sz w:val="38"/>
      <w:szCs w:val="32"/>
    </w:rPr>
  </w:style>
  <w:style w:type="character" w:customStyle="1" w:styleId="20">
    <w:name w:val="Заголовок 2 Знак"/>
    <w:basedOn w:val="a0"/>
    <w:link w:val="2"/>
    <w:uiPriority w:val="9"/>
    <w:rsid w:val="004F69CB"/>
    <w:rPr>
      <w:rFonts w:ascii="Arial" w:eastAsiaTheme="majorEastAsia" w:hAnsi="Arial" w:cs="Arial"/>
      <w:b/>
      <w:color w:val="0F172A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4F69CB"/>
    <w:rPr>
      <w:rFonts w:ascii="Arial" w:eastAsiaTheme="majorEastAsia" w:hAnsi="Arial" w:cs="Arial"/>
      <w:b/>
      <w:color w:val="0F172A"/>
      <w:szCs w:val="24"/>
    </w:rPr>
  </w:style>
  <w:style w:type="paragraph" w:styleId="a3">
    <w:name w:val="header"/>
    <w:basedOn w:val="a"/>
    <w:link w:val="a4"/>
    <w:uiPriority w:val="99"/>
    <w:unhideWhenUsed/>
    <w:rsid w:val="004F69CB"/>
    <w:pPr>
      <w:tabs>
        <w:tab w:val="center" w:pos="4677"/>
        <w:tab w:val="right" w:pos="9355"/>
      </w:tabs>
      <w:spacing w:after="0"/>
    </w:pPr>
  </w:style>
  <w:style w:type="character" w:customStyle="1" w:styleId="a4">
    <w:name w:val="Верхний колонтитул Знак"/>
    <w:basedOn w:val="a0"/>
    <w:link w:val="a3"/>
    <w:uiPriority w:val="99"/>
    <w:rsid w:val="004F69CB"/>
    <w:rPr>
      <w:rFonts w:ascii="Arial" w:hAnsi="Arial" w:cs="Arial"/>
      <w:color w:val="0F172A"/>
      <w:sz w:val="18"/>
    </w:rPr>
  </w:style>
  <w:style w:type="paragraph" w:styleId="a5">
    <w:name w:val="footer"/>
    <w:basedOn w:val="a"/>
    <w:link w:val="a6"/>
    <w:uiPriority w:val="99"/>
    <w:unhideWhenUsed/>
    <w:rsid w:val="004F69CB"/>
    <w:pPr>
      <w:tabs>
        <w:tab w:val="center" w:pos="4677"/>
        <w:tab w:val="right" w:pos="9355"/>
      </w:tabs>
      <w:spacing w:after="0"/>
    </w:pPr>
  </w:style>
  <w:style w:type="character" w:customStyle="1" w:styleId="a6">
    <w:name w:val="Нижний колонтитул Знак"/>
    <w:basedOn w:val="a0"/>
    <w:link w:val="a5"/>
    <w:uiPriority w:val="99"/>
    <w:rsid w:val="004F69CB"/>
    <w:rPr>
      <w:rFonts w:ascii="Arial" w:hAnsi="Arial" w:cs="Arial"/>
      <w:color w:val="0F172A"/>
      <w:sz w:val="18"/>
    </w:rPr>
  </w:style>
  <w:style w:type="character" w:styleId="a7">
    <w:name w:val="page number"/>
    <w:basedOn w:val="a0"/>
    <w:uiPriority w:val="99"/>
    <w:semiHidden/>
    <w:unhideWhenUsed/>
    <w:rsid w:val="004F69C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6390</Words>
  <Characters>41851</Characters>
  <Application>Microsoft Office Word</Application>
  <DocSecurity>0</DocSecurity>
  <Lines>1985</Lines>
  <Paragraphs>1633</Paragraphs>
  <ScaleCrop>false</ScaleCrop>
  <Company/>
  <LinksUpToDate>false</LinksUpToDate>
  <CharactersWithSpaces>46636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Shkurko</dc:creator>
  <cp:keywords/>
  <dc:description/>
  <cp:lastModifiedBy>Oleksii Shkurko</cp:lastModifiedBy>
  <cp:revision>1</cp:revision>
  <dcterms:created xsi:type="dcterms:W3CDTF">2026-09-16T18:22:00Z</dcterms:created>
  <dcterms:modified xsi:type="dcterms:W3CDTF">2026-09-16T18:23:00Z</dcterms:modified>
</cp:coreProperties>
</file>