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12A1" w14:textId="2F80099B" w:rsidR="00CB1B1A" w:rsidRDefault="00CB1B1A" w:rsidP="00CB1B1A">
      <w:pPr>
        <w:jc w:val="center"/>
        <w:rPr>
          <w:rFonts w:ascii="David" w:hAnsi="David" w:cs="David"/>
          <w:b/>
          <w:bCs/>
          <w:sz w:val="56"/>
          <w:szCs w:val="56"/>
          <w:u w:val="single"/>
          <w:rtl/>
          <w:lang w:val="en-US"/>
        </w:rPr>
      </w:pPr>
      <w:bookmarkStart w:id="0" w:name="_Toc106385107"/>
      <w:bookmarkStart w:id="1" w:name="_Toc106385210"/>
      <w:bookmarkStart w:id="2" w:name="_Toc106386208"/>
    </w:p>
    <w:p w14:paraId="5DFD52B4" w14:textId="77777777" w:rsidR="00DD3281" w:rsidRDefault="00DD3281" w:rsidP="00CB1B1A">
      <w:pPr>
        <w:jc w:val="center"/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eastAsia="en-IL"/>
        </w:rPr>
      </w:pPr>
    </w:p>
    <w:p w14:paraId="2B527CAC" w14:textId="45448FCB" w:rsidR="00CB1B1A" w:rsidRDefault="00CB1B1A" w:rsidP="00CB1B1A">
      <w:pPr>
        <w:jc w:val="center"/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val="en-US" w:eastAsia="en-IL"/>
        </w:rPr>
      </w:pPr>
      <w:r w:rsidRPr="00FD2108"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eastAsia="en-IL"/>
        </w:rPr>
        <w:t>Trade</w:t>
      </w:r>
      <w:bookmarkEnd w:id="0"/>
      <w:bookmarkEnd w:id="1"/>
      <w:bookmarkEnd w:id="2"/>
      <w:r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val="en-US" w:eastAsia="en-IL"/>
        </w:rPr>
        <w:t>It</w:t>
      </w:r>
      <w:r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val="en-US" w:eastAsia="en-IL"/>
        </w:rPr>
        <w:t>.</w:t>
      </w:r>
    </w:p>
    <w:p w14:paraId="2EC73E93" w14:textId="46D7B4A9" w:rsidR="00CB1B1A" w:rsidRDefault="00CB1B1A" w:rsidP="00CB1B1A">
      <w:pPr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val="en-US" w:eastAsia="en-IL"/>
        </w:rPr>
      </w:pPr>
    </w:p>
    <w:p w14:paraId="5C3A8E29" w14:textId="4D6CA1C5" w:rsidR="00CB1B1A" w:rsidRDefault="00CB1B1A" w:rsidP="00CB1B1A">
      <w:pPr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val="en-US" w:eastAsia="en-IL"/>
        </w:rPr>
      </w:pPr>
    </w:p>
    <w:p w14:paraId="78D17F05" w14:textId="164D7961" w:rsidR="00CB1B1A" w:rsidRDefault="00DD3281" w:rsidP="00CB1B1A">
      <w:pPr>
        <w:bidi/>
        <w:rPr>
          <w:rFonts w:ascii="David" w:hAnsi="David" w:cs="David"/>
          <w:b/>
          <w:bCs/>
          <w:sz w:val="56"/>
          <w:szCs w:val="56"/>
          <w:u w:val="single"/>
          <w:lang w:val="en-US"/>
        </w:rPr>
      </w:pPr>
      <w:r>
        <w:rPr>
          <w:rFonts w:ascii="David" w:hAnsi="David" w:cs="David" w:hint="cs"/>
          <w:b/>
          <w:bCs/>
          <w:sz w:val="56"/>
          <w:szCs w:val="56"/>
          <w:u w:val="single"/>
          <w:rtl/>
          <w:lang w:val="en-US"/>
        </w:rPr>
        <w:lastRenderedPageBreak/>
        <w:t>דו"ח גרסה 4:</w:t>
      </w:r>
    </w:p>
    <w:p w14:paraId="4BF10073" w14:textId="4EE66C31" w:rsidR="00BC77F3" w:rsidRDefault="00BC77F3" w:rsidP="00CB1B1A">
      <w:pPr>
        <w:bidi/>
        <w:rPr>
          <w:rFonts w:ascii="David" w:hAnsi="David" w:cs="David"/>
          <w:sz w:val="28"/>
          <w:szCs w:val="28"/>
          <w:rtl/>
          <w:lang w:val="en-US"/>
        </w:rPr>
      </w:pPr>
      <w:r w:rsidRPr="00BC77F3">
        <w:rPr>
          <w:rFonts w:ascii="David" w:hAnsi="David" w:cs="David" w:hint="cs"/>
          <w:sz w:val="28"/>
          <w:szCs w:val="28"/>
          <w:u w:val="single"/>
          <w:rtl/>
          <w:lang w:val="en-US"/>
        </w:rPr>
        <w:t>מנהל גרסה</w:t>
      </w:r>
      <w:r w:rsidRPr="00BC77F3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BC77F3">
        <w:rPr>
          <w:rFonts w:ascii="David" w:hAnsi="David" w:cs="David"/>
          <w:sz w:val="28"/>
          <w:szCs w:val="28"/>
          <w:rtl/>
          <w:lang w:val="en-US"/>
        </w:rPr>
        <w:t>–</w:t>
      </w:r>
      <w:r w:rsidRPr="00BC77F3">
        <w:rPr>
          <w:rFonts w:ascii="David" w:hAnsi="David" w:cs="David" w:hint="cs"/>
          <w:sz w:val="28"/>
          <w:szCs w:val="28"/>
          <w:rtl/>
          <w:lang w:val="en-US"/>
        </w:rPr>
        <w:t xml:space="preserve"> ולדי אודסק</w:t>
      </w:r>
      <w:r w:rsidR="00CB1B1A">
        <w:rPr>
          <w:rFonts w:ascii="David" w:hAnsi="David" w:cs="David" w:hint="cs"/>
          <w:sz w:val="28"/>
          <w:szCs w:val="28"/>
          <w:rtl/>
          <w:lang w:val="en-US"/>
        </w:rPr>
        <w:t>י</w:t>
      </w:r>
    </w:p>
    <w:p w14:paraId="415B5DC1" w14:textId="114115FE" w:rsidR="00CD4196" w:rsidRDefault="00CD4196" w:rsidP="00BC77F3">
      <w:pPr>
        <w:jc w:val="right"/>
        <w:rPr>
          <w:rFonts w:ascii="David" w:hAnsi="David" w:cs="David"/>
          <w:sz w:val="28"/>
          <w:szCs w:val="28"/>
          <w:u w:val="single"/>
          <w:rtl/>
          <w:lang w:val="en-US"/>
        </w:rPr>
      </w:pPr>
      <w:r w:rsidRPr="00CD4196">
        <w:rPr>
          <w:rFonts w:ascii="David" w:hAnsi="David" w:cs="David" w:hint="cs"/>
          <w:sz w:val="28"/>
          <w:szCs w:val="28"/>
          <w:u w:val="single"/>
          <w:rtl/>
          <w:lang w:val="en-US"/>
        </w:rPr>
        <w:t>לו"ז: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7667BF" w14:paraId="6DAD6036" w14:textId="77777777" w:rsidTr="007667BF">
        <w:tc>
          <w:tcPr>
            <w:tcW w:w="13948" w:type="dxa"/>
          </w:tcPr>
          <w:p w14:paraId="29B05B5A" w14:textId="2F50F3A0" w:rsidR="007667BF" w:rsidRDefault="007667BF" w:rsidP="007667BF">
            <w:pPr>
              <w:jc w:val="center"/>
              <w:rPr>
                <w:rFonts w:ascii="David" w:hAnsi="David" w:cs="David"/>
                <w:sz w:val="28"/>
                <w:szCs w:val="28"/>
                <w:u w:val="single"/>
                <w:lang w:val="en-US"/>
              </w:rPr>
            </w:pPr>
            <w:r w:rsidRPr="00CD4196">
              <w:rPr>
                <w:rFonts w:hint="cs"/>
              </w:rPr>
              <w:drawing>
                <wp:inline distT="0" distB="0" distL="0" distR="0" wp14:anchorId="4F9F0C47" wp14:editId="75189A82">
                  <wp:extent cx="7322612" cy="46543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2612" cy="465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1AE06" w14:textId="1EA36BE3" w:rsidR="007667BF" w:rsidRDefault="007667BF" w:rsidP="007667BF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br w:type="page"/>
      </w:r>
      <w:r w:rsidRPr="00CD4196">
        <w:rPr>
          <w:rFonts w:ascii="David" w:hAnsi="David" w:cs="David" w:hint="cs"/>
          <w:sz w:val="28"/>
          <w:szCs w:val="28"/>
          <w:u w:val="single"/>
          <w:rtl/>
          <w:lang w:val="en-US"/>
        </w:rPr>
        <w:lastRenderedPageBreak/>
        <w:t>תיקון ליקויים מגרסה</w:t>
      </w:r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 xml:space="preserve"> 3:</w:t>
      </w:r>
    </w:p>
    <w:tbl>
      <w:tblPr>
        <w:bidiVisual/>
        <w:tblW w:w="13480" w:type="dxa"/>
        <w:tblInd w:w="5" w:type="dxa"/>
        <w:tblLook w:val="04A0" w:firstRow="1" w:lastRow="0" w:firstColumn="1" w:lastColumn="0" w:noHBand="0" w:noVBand="1"/>
      </w:tblPr>
      <w:tblGrid>
        <w:gridCol w:w="12520"/>
        <w:gridCol w:w="976"/>
      </w:tblGrid>
      <w:tr w:rsidR="007E7ADB" w:rsidRPr="007E7ADB" w14:paraId="73B0E7C2" w14:textId="77777777" w:rsidTr="007E7ADB">
        <w:trPr>
          <w:trHeight w:val="375"/>
        </w:trPr>
        <w:tc>
          <w:tcPr>
            <w:tcW w:w="1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622690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rtl/>
                <w:lang w:val="en-IL" w:eastAsia="en-IL"/>
              </w:rPr>
              <w:t>הליקוי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86E1F3B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rtl/>
                <w:lang w:val="en-IL" w:eastAsia="en-IL"/>
              </w:rPr>
              <w:t>סטטוס</w:t>
            </w:r>
          </w:p>
        </w:tc>
      </w:tr>
      <w:tr w:rsidR="007E7ADB" w:rsidRPr="007E7ADB" w14:paraId="4E653EFA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B7E8B2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במקום לממש אובזרבר אחד שוובסוקט הוא 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Null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אז להגדיר אובזרבר 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dummy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שתמיד מחזיר 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false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אם היוזר מנותק (לא עושה כלום בעצם).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7E66F22A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07961471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2DD144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  <w:lang w:val="en-US" w:eastAsia="en-IL"/>
              </w:rPr>
              <w:t>טסטים של מקביליות לא הורגים באמת אף מוטציה – צריך למצוא את המוטציה שתכשיל את הטסט.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1C1EC62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00FD1686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9AE64E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להוסיף/לשפר טסטים שבודקים מקביליות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882121A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15157C28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55CED0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לעדכן את ה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founder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כשעושים רכישה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5EEBBF44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4DDF0EDB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48C5F2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מעדכן ש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Tal1.json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נכשל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6DED6B1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11F108F1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49B723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בדיקות ל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config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&amp;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state files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4036973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6B995FDC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F0D24F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לעדכן דיאגרמת מחלקות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FC10995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6B6536AF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FF66BE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טרנזקציות אטומיות ברמת הסרוויס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2156F8C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26584265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EFB5D6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שגיאה של הדטהבייס - הודעות "נעימות"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B1F99B4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526C265B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F7D26B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עדכון 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quantity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של מוצר אחרי רכישה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8500F6A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1DDD1802" w14:textId="77777777" w:rsidTr="007E7ADB">
        <w:trPr>
          <w:trHeight w:val="330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084A87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בדיקות יחידה ל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bargaining policy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4B1FCBDF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</w:tbl>
    <w:p w14:paraId="7E6EA89F" w14:textId="77777777" w:rsidR="007667BF" w:rsidRPr="007667BF" w:rsidRDefault="007667BF" w:rsidP="007667BF">
      <w:pPr>
        <w:bidi/>
        <w:rPr>
          <w:rFonts w:ascii="David" w:hAnsi="David" w:cs="David"/>
          <w:sz w:val="28"/>
          <w:szCs w:val="28"/>
          <w:rtl/>
          <w:lang w:val="en-US"/>
        </w:rPr>
      </w:pPr>
    </w:p>
    <w:p w14:paraId="66BD02AA" w14:textId="02E4A64D" w:rsidR="00CD4196" w:rsidRDefault="007E7ADB" w:rsidP="007E7ADB">
      <w:pPr>
        <w:bidi/>
        <w:rPr>
          <w:rFonts w:ascii="David" w:hAnsi="David" w:cs="David"/>
          <w:sz w:val="28"/>
          <w:szCs w:val="28"/>
          <w:rtl/>
          <w:lang w:val="en-US"/>
        </w:rPr>
      </w:pPr>
      <w:r w:rsidRPr="007E7ADB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הספק בגרסה הנוכחית:</w:t>
      </w:r>
    </w:p>
    <w:tbl>
      <w:tblPr>
        <w:bidiVisual/>
        <w:tblW w:w="13480" w:type="dxa"/>
        <w:tblInd w:w="5" w:type="dxa"/>
        <w:tblLook w:val="04A0" w:firstRow="1" w:lastRow="0" w:firstColumn="1" w:lastColumn="0" w:noHBand="0" w:noVBand="1"/>
      </w:tblPr>
      <w:tblGrid>
        <w:gridCol w:w="12520"/>
        <w:gridCol w:w="976"/>
      </w:tblGrid>
      <w:tr w:rsidR="007E7ADB" w:rsidRPr="007E7ADB" w14:paraId="392B2E1D" w14:textId="77777777" w:rsidTr="007E7ADB">
        <w:trPr>
          <w:trHeight w:val="375"/>
        </w:trPr>
        <w:tc>
          <w:tcPr>
            <w:tcW w:w="1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65A3FC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rtl/>
                <w:lang w:val="en-IL" w:eastAsia="en-IL"/>
              </w:rPr>
              <w:t>משימה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50ADE0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b/>
                <w:bCs/>
                <w:color w:val="000000"/>
                <w:sz w:val="28"/>
                <w:szCs w:val="28"/>
                <w:rtl/>
                <w:lang w:val="en-IL" w:eastAsia="en-IL"/>
              </w:rPr>
              <w:t>סטטוס</w:t>
            </w:r>
          </w:p>
        </w:tc>
      </w:tr>
      <w:tr w:rsidR="007E7ADB" w:rsidRPr="007E7ADB" w14:paraId="60EF0B02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94D54E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בדיקות עומס וקיבול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0C7ED80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44C47DE0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863ED1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>עדכון דרישת סטטיסטיקות עבור אדמין, בנוסף סטטיסטיקות מתעדכנות בזמן אמת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224B1C4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4E4F4BB7" w14:textId="77777777" w:rsidTr="007E7ADB">
        <w:trPr>
          <w:trHeight w:val="315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1DD3C4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שינוי דרישה 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II.4.4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מינוי בעלים דורש את אישור כל בעלי החנות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3051D46E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  <w:tr w:rsidR="007E7ADB" w:rsidRPr="007E7ADB" w14:paraId="0FCE3E7D" w14:textId="77777777" w:rsidTr="007E7ADB">
        <w:trPr>
          <w:trHeight w:val="330"/>
        </w:trPr>
        <w:tc>
          <w:tcPr>
            <w:tcW w:w="12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187775" w14:textId="77777777" w:rsidR="007E7ADB" w:rsidRPr="007E7ADB" w:rsidRDefault="007E7ADB" w:rsidP="007E7AD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דרישה 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I.7</w:t>
            </w: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  <w:t xml:space="preserve"> - הצגת הודעות שגיאה רלוונטיות למשתמש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CABA462" w14:textId="77777777" w:rsidR="007E7ADB" w:rsidRPr="007E7ADB" w:rsidRDefault="007E7ADB" w:rsidP="007E7ADB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  <w:lang w:val="en-IL" w:eastAsia="en-IL"/>
              </w:rPr>
            </w:pPr>
            <w:r w:rsidRPr="007E7ADB">
              <w:rPr>
                <w:rFonts w:ascii="David" w:eastAsia="Times New Roman" w:hAnsi="David" w:cs="David"/>
                <w:color w:val="000000"/>
                <w:sz w:val="24"/>
                <w:szCs w:val="24"/>
                <w:lang w:val="en-IL" w:eastAsia="en-IL"/>
              </w:rPr>
              <w:t>V</w:t>
            </w:r>
          </w:p>
        </w:tc>
      </w:tr>
    </w:tbl>
    <w:p w14:paraId="18CC8D19" w14:textId="763FF0B0" w:rsidR="007E7ADB" w:rsidRDefault="007E7ADB" w:rsidP="007E7ADB">
      <w:pPr>
        <w:bidi/>
        <w:rPr>
          <w:rFonts w:ascii="David" w:hAnsi="David" w:cs="David"/>
          <w:sz w:val="28"/>
          <w:szCs w:val="28"/>
          <w:rtl/>
          <w:lang w:val="en-US"/>
        </w:rPr>
      </w:pPr>
    </w:p>
    <w:p w14:paraId="0E018162" w14:textId="5F2B906B" w:rsidR="007E7ADB" w:rsidRPr="007E7ADB" w:rsidRDefault="007E7ADB" w:rsidP="007E7ADB">
      <w:pPr>
        <w:bidi/>
        <w:rPr>
          <w:rFonts w:ascii="David" w:hAnsi="David" w:cs="David" w:hint="cs"/>
          <w:sz w:val="28"/>
          <w:szCs w:val="28"/>
          <w:rtl/>
          <w:lang w:val="en-US"/>
        </w:rPr>
      </w:pPr>
    </w:p>
    <w:sectPr w:rsidR="007E7ADB" w:rsidRPr="007E7ADB" w:rsidSect="007667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F3"/>
    <w:rsid w:val="00146B10"/>
    <w:rsid w:val="007667BF"/>
    <w:rsid w:val="007E7ADB"/>
    <w:rsid w:val="00BC77F3"/>
    <w:rsid w:val="00CB1B1A"/>
    <w:rsid w:val="00CD4196"/>
    <w:rsid w:val="00D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952D"/>
  <w15:chartTrackingRefBased/>
  <w15:docId w15:val="{0CBE8403-83A4-4C85-AA89-6C836EB9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 אודסקי</dc:creator>
  <cp:keywords/>
  <dc:description/>
  <cp:lastModifiedBy>ולדי אודסקי</cp:lastModifiedBy>
  <cp:revision>1</cp:revision>
  <dcterms:created xsi:type="dcterms:W3CDTF">2022-06-26T17:42:00Z</dcterms:created>
  <dcterms:modified xsi:type="dcterms:W3CDTF">2022-06-26T18:20:00Z</dcterms:modified>
</cp:coreProperties>
</file>